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D291E1" w14:textId="77777777" w:rsidR="002E3549" w:rsidRDefault="002E3549" w:rsidP="00E85734">
      <w:pPr>
        <w:pStyle w:val="Header"/>
        <w:jc w:val="both"/>
      </w:pPr>
      <w:r w:rsidRPr="00EF6F7D">
        <w:rPr>
          <w:rFonts w:eastAsia="SimSun"/>
          <w:lang w:val="ru-RU"/>
        </w:rPr>
        <w:t xml:space="preserve">   </w:t>
      </w:r>
      <w:r w:rsidRPr="006212FD">
        <w:rPr>
          <w:rFonts w:eastAsia="SimSun"/>
        </w:rPr>
        <w:t xml:space="preserve">  </w:t>
      </w:r>
      <w:r w:rsidRPr="006212FD">
        <w:rPr>
          <w:rFonts w:ascii="Trebuchet MS" w:eastAsia="SimSun" w:hAnsi="Trebuchet MS"/>
          <w:noProof/>
          <w:color w:val="32598C"/>
          <w:sz w:val="19"/>
          <w:szCs w:val="19"/>
          <w:lang w:eastAsia="bg-BG"/>
        </w:rPr>
        <w:drawing>
          <wp:inline distT="0" distB="0" distL="0" distR="0" wp14:anchorId="3645057B" wp14:editId="10F001EC">
            <wp:extent cx="704850" cy="542925"/>
            <wp:effectExtent l="0" t="0" r="0" b="9525"/>
            <wp:docPr id="5" name="Picture 5" descr="Начало">
              <a:hlinkClick xmlns:a="http://schemas.openxmlformats.org/drawingml/2006/main" r:id="rId8" tooltip="&quot;Начало&quot; 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ачало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rebuchet MS" w:eastAsia="SimSun" w:hAnsi="Trebuchet MS"/>
          <w:noProof/>
          <w:color w:val="32598C"/>
          <w:sz w:val="19"/>
          <w:szCs w:val="19"/>
          <w:lang w:eastAsia="bg-BG"/>
        </w:rPr>
        <w:t xml:space="preserve">     </w:t>
      </w:r>
      <w:r w:rsidRPr="006212FD">
        <w:rPr>
          <w:rFonts w:ascii="Trebuchet MS" w:eastAsia="SimSun" w:hAnsi="Trebuchet MS"/>
          <w:noProof/>
          <w:color w:val="32598C"/>
          <w:sz w:val="19"/>
          <w:szCs w:val="19"/>
          <w:lang w:eastAsia="bg-BG"/>
        </w:rPr>
        <w:drawing>
          <wp:inline distT="0" distB="0" distL="0" distR="0" wp14:anchorId="62868416" wp14:editId="5D863986">
            <wp:extent cx="3600450" cy="419100"/>
            <wp:effectExtent l="0" t="0" r="0" b="0"/>
            <wp:docPr id="4" name="Picture 4" descr="Начало">
              <a:hlinkClick xmlns:a="http://schemas.openxmlformats.org/drawingml/2006/main" r:id="rId8" tooltip="&quot;Начало&quot; 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Начало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rebuchet MS" w:eastAsia="SimSun" w:hAnsi="Trebuchet MS"/>
          <w:noProof/>
          <w:color w:val="32598C"/>
          <w:sz w:val="19"/>
          <w:szCs w:val="19"/>
          <w:lang w:eastAsia="bg-BG"/>
        </w:rPr>
        <w:t xml:space="preserve">     </w:t>
      </w:r>
      <w:r w:rsidRPr="006212FD">
        <w:rPr>
          <w:rFonts w:ascii="Trebuchet MS" w:eastAsia="SimSun" w:hAnsi="Trebuchet MS"/>
          <w:noProof/>
          <w:color w:val="32598C"/>
          <w:sz w:val="19"/>
          <w:szCs w:val="19"/>
          <w:lang w:eastAsia="bg-BG"/>
        </w:rPr>
        <w:t xml:space="preserve"> </w:t>
      </w:r>
      <w:r w:rsidRPr="006212FD">
        <w:rPr>
          <w:rFonts w:ascii="Trebuchet MS" w:eastAsia="SimSun" w:hAnsi="Trebuchet MS"/>
          <w:noProof/>
          <w:color w:val="32598C"/>
          <w:sz w:val="19"/>
          <w:szCs w:val="19"/>
          <w:lang w:eastAsia="bg-BG"/>
        </w:rPr>
        <w:drawing>
          <wp:inline distT="0" distB="0" distL="0" distR="0" wp14:anchorId="0159BB5A" wp14:editId="6A750DDC">
            <wp:extent cx="619125" cy="561975"/>
            <wp:effectExtent l="0" t="0" r="9525" b="9525"/>
            <wp:docPr id="3" name="Picture 3" descr="Начало">
              <a:hlinkClick xmlns:a="http://schemas.openxmlformats.org/drawingml/2006/main" r:id="rId8" tooltip="&quot;Начало&quot; 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Начало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12FD">
        <w:rPr>
          <w:rFonts w:ascii="Trebuchet MS" w:eastAsia="SimSun" w:hAnsi="Trebuchet MS"/>
          <w:noProof/>
          <w:color w:val="32598C"/>
          <w:sz w:val="19"/>
          <w:szCs w:val="19"/>
          <w:lang w:eastAsia="bg-BG"/>
        </w:rPr>
        <w:t xml:space="preserve">  </w:t>
      </w:r>
    </w:p>
    <w:p w14:paraId="03332D33" w14:textId="77777777" w:rsidR="00AF131C" w:rsidRDefault="00AF131C"/>
    <w:p w14:paraId="5D59A371" w14:textId="6C242747" w:rsidR="002E3549" w:rsidRDefault="00573017">
      <w:r>
        <w:tab/>
      </w:r>
      <w:r>
        <w:tab/>
      </w:r>
      <w:r>
        <w:tab/>
      </w:r>
      <w:bookmarkStart w:id="0" w:name="_GoBack"/>
      <w:bookmarkEnd w:id="0"/>
      <w:r w:rsidR="00C540D7" w:rsidRPr="00C540D7">
        <w:t xml:space="preserve"> КН-</w:t>
      </w:r>
      <w:r w:rsidR="00C540D7">
        <w:t xml:space="preserve"> </w:t>
      </w:r>
      <w:r w:rsidR="00C540D7" w:rsidRPr="00C540D7">
        <w:t>Осма процедура за неприсъствено приемане на решение 2017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3442"/>
        <w:gridCol w:w="5058"/>
      </w:tblGrid>
      <w:tr w:rsidR="002E3549" w14:paraId="59873C37" w14:textId="77777777" w:rsidTr="00AC07C0">
        <w:trPr>
          <w:trHeight w:val="562"/>
        </w:trPr>
        <w:tc>
          <w:tcPr>
            <w:tcW w:w="9062" w:type="dxa"/>
            <w:gridSpan w:val="3"/>
          </w:tcPr>
          <w:p w14:paraId="52DFFC72" w14:textId="77777777" w:rsidR="002E3549" w:rsidRPr="0054203F" w:rsidRDefault="002E3549" w:rsidP="002E3549">
            <w:pPr>
              <w:jc w:val="center"/>
              <w:rPr>
                <w:b/>
                <w:bCs/>
              </w:rPr>
            </w:pPr>
            <w:r w:rsidRPr="0054203F">
              <w:rPr>
                <w:b/>
                <w:bCs/>
              </w:rPr>
              <w:t>КРИТЕРИИ ЗА ПОДБОР НА ОПЕРАЦИИ</w:t>
            </w:r>
          </w:p>
          <w:p w14:paraId="75E47C73" w14:textId="77777777" w:rsidR="002E3549" w:rsidRDefault="002E3549" w:rsidP="002E3549">
            <w:pPr>
              <w:jc w:val="center"/>
            </w:pPr>
            <w:r w:rsidRPr="0054203F">
              <w:rPr>
                <w:b/>
                <w:bCs/>
              </w:rPr>
              <w:t>ПО ОПЕРАТИВНА ПРОГРАМА „ДОБРО УПРАВЛЕНИЕ“ 2014-2020</w:t>
            </w:r>
          </w:p>
        </w:tc>
      </w:tr>
      <w:tr w:rsidR="002E3549" w14:paraId="34AE5F73" w14:textId="77777777" w:rsidTr="002E3549">
        <w:tc>
          <w:tcPr>
            <w:tcW w:w="562" w:type="dxa"/>
            <w:shd w:val="clear" w:color="auto" w:fill="2E74B5" w:themeFill="accent1" w:themeFillShade="BF"/>
          </w:tcPr>
          <w:p w14:paraId="341DEE4F" w14:textId="77777777" w:rsidR="002E3549" w:rsidRPr="00637EF7" w:rsidRDefault="002E3549">
            <w:pPr>
              <w:rPr>
                <w:b/>
                <w:lang w:val="en-US"/>
              </w:rPr>
            </w:pPr>
            <w:r w:rsidRPr="00637EF7">
              <w:rPr>
                <w:b/>
                <w:lang w:val="en-US"/>
              </w:rPr>
              <w:t>I.</w:t>
            </w:r>
          </w:p>
        </w:tc>
        <w:tc>
          <w:tcPr>
            <w:tcW w:w="8500" w:type="dxa"/>
            <w:gridSpan w:val="2"/>
            <w:shd w:val="clear" w:color="auto" w:fill="2E74B5" w:themeFill="accent1" w:themeFillShade="BF"/>
          </w:tcPr>
          <w:p w14:paraId="7B4C2EDA" w14:textId="77777777" w:rsidR="002E3549" w:rsidRPr="002E3549" w:rsidRDefault="002E3549">
            <w:pPr>
              <w:rPr>
                <w:b/>
              </w:rPr>
            </w:pPr>
            <w:r w:rsidRPr="002E3549">
              <w:rPr>
                <w:b/>
              </w:rPr>
              <w:t>ОБЩА ИНФОРМАЦИЯ</w:t>
            </w:r>
          </w:p>
        </w:tc>
      </w:tr>
      <w:tr w:rsidR="002E3549" w14:paraId="12984D95" w14:textId="77777777" w:rsidTr="00E47080">
        <w:tc>
          <w:tcPr>
            <w:tcW w:w="562" w:type="dxa"/>
            <w:vAlign w:val="center"/>
          </w:tcPr>
          <w:p w14:paraId="20909B2B" w14:textId="77777777" w:rsidR="002E3549" w:rsidRPr="002E3549" w:rsidRDefault="002E3549">
            <w:pPr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3442" w:type="dxa"/>
            <w:vAlign w:val="center"/>
          </w:tcPr>
          <w:p w14:paraId="669D72AC" w14:textId="77777777" w:rsidR="002E3549" w:rsidRDefault="002E3549">
            <w:r w:rsidRPr="0054203F">
              <w:rPr>
                <w:b/>
                <w:bCs/>
                <w:lang w:eastAsia="fr-FR"/>
              </w:rPr>
              <w:t>Наименование на процедурата</w:t>
            </w:r>
          </w:p>
        </w:tc>
        <w:tc>
          <w:tcPr>
            <w:tcW w:w="5058" w:type="dxa"/>
            <w:vAlign w:val="center"/>
          </w:tcPr>
          <w:p w14:paraId="41451736" w14:textId="77777777" w:rsidR="002E3549" w:rsidRPr="002E3549" w:rsidRDefault="002E3549" w:rsidP="002E3549">
            <w:pPr>
              <w:spacing w:before="60"/>
              <w:ind w:left="-74" w:right="-58"/>
              <w:jc w:val="center"/>
              <w:rPr>
                <w:sz w:val="22"/>
                <w:szCs w:val="18"/>
              </w:rPr>
            </w:pPr>
            <w:r w:rsidRPr="0054203F">
              <w:rPr>
                <w:sz w:val="22"/>
                <w:szCs w:val="18"/>
              </w:rPr>
              <w:t>ГРАЖДАНСКИ КОНТРОЛ ВЪРХУ РЕФОРМАТА В СЪДЕБНАТА СИСТЕМА</w:t>
            </w:r>
          </w:p>
        </w:tc>
      </w:tr>
      <w:tr w:rsidR="002E3549" w14:paraId="39FA6BC1" w14:textId="77777777" w:rsidTr="00E47080">
        <w:tc>
          <w:tcPr>
            <w:tcW w:w="562" w:type="dxa"/>
          </w:tcPr>
          <w:p w14:paraId="77E5143C" w14:textId="77777777" w:rsidR="002E3549" w:rsidRPr="002E3549" w:rsidRDefault="002E3549" w:rsidP="00E47080">
            <w:pPr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3442" w:type="dxa"/>
          </w:tcPr>
          <w:p w14:paraId="2A462A19" w14:textId="77777777" w:rsidR="002E3549" w:rsidRDefault="002E3549">
            <w:r w:rsidRPr="0054203F">
              <w:rPr>
                <w:b/>
                <w:bCs/>
                <w:lang w:eastAsia="fr-FR"/>
              </w:rPr>
              <w:t>Приоритетна/и ос/и – № и наименование</w:t>
            </w:r>
          </w:p>
        </w:tc>
        <w:tc>
          <w:tcPr>
            <w:tcW w:w="5058" w:type="dxa"/>
          </w:tcPr>
          <w:p w14:paraId="60C9D4ED" w14:textId="77777777" w:rsidR="002E3549" w:rsidRDefault="002E3549" w:rsidP="002E3549">
            <w:pPr>
              <w:jc w:val="center"/>
            </w:pPr>
            <w:r w:rsidRPr="00A1529C">
              <w:rPr>
                <w:bCs/>
              </w:rPr>
              <w:t>Приоритетна ос №3 „</w:t>
            </w:r>
            <w:r w:rsidRPr="00A1529C">
              <w:t xml:space="preserve"> Прозрачна и ефективна съдебна система</w:t>
            </w:r>
            <w:r w:rsidRPr="00A1529C">
              <w:rPr>
                <w:bCs/>
              </w:rPr>
              <w:t>“</w:t>
            </w:r>
          </w:p>
        </w:tc>
      </w:tr>
      <w:tr w:rsidR="002E3549" w14:paraId="4D7408F9" w14:textId="77777777" w:rsidTr="00E47080">
        <w:tc>
          <w:tcPr>
            <w:tcW w:w="562" w:type="dxa"/>
          </w:tcPr>
          <w:p w14:paraId="570494EB" w14:textId="77777777" w:rsidR="002E3549" w:rsidRPr="002E3549" w:rsidRDefault="002E3549" w:rsidP="00E47080">
            <w:pPr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3442" w:type="dxa"/>
          </w:tcPr>
          <w:p w14:paraId="65D1D1FC" w14:textId="77777777" w:rsidR="002E3549" w:rsidRDefault="002E3549">
            <w:r w:rsidRPr="0054203F">
              <w:rPr>
                <w:b/>
                <w:bCs/>
                <w:lang w:eastAsia="fr-FR"/>
              </w:rPr>
              <w:t>Инвестиционен приоритет – наименование</w:t>
            </w:r>
          </w:p>
        </w:tc>
        <w:tc>
          <w:tcPr>
            <w:tcW w:w="5058" w:type="dxa"/>
          </w:tcPr>
          <w:p w14:paraId="3D71AFDA" w14:textId="77777777" w:rsidR="002E3549" w:rsidRDefault="002E3549" w:rsidP="002E3549">
            <w:pPr>
              <w:jc w:val="both"/>
            </w:pPr>
            <w:r w:rsidRPr="00A1529C">
              <w:rPr>
                <w:bCs/>
              </w:rPr>
              <w:t>Инвестиции в институционален капацитет и в ефикасността на публичните администрации и публичните услуги на национално, регионално и местно равнище с цел осъществяването на реформи и постигането на по-добро регулиране и добро управление</w:t>
            </w:r>
          </w:p>
        </w:tc>
      </w:tr>
      <w:tr w:rsidR="002E3549" w14:paraId="3B1E73E1" w14:textId="77777777" w:rsidTr="00E47080">
        <w:tc>
          <w:tcPr>
            <w:tcW w:w="562" w:type="dxa"/>
          </w:tcPr>
          <w:p w14:paraId="77891CEF" w14:textId="77777777" w:rsidR="002E3549" w:rsidRPr="002E3549" w:rsidRDefault="00E47080">
            <w:pPr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3442" w:type="dxa"/>
          </w:tcPr>
          <w:p w14:paraId="6227ECEA" w14:textId="77777777" w:rsidR="002E3549" w:rsidRDefault="002E3549">
            <w:r w:rsidRPr="0054203F">
              <w:rPr>
                <w:b/>
                <w:bCs/>
                <w:lang w:eastAsia="fr-FR"/>
              </w:rPr>
              <w:t>Специфична/и цел/и № и наименование</w:t>
            </w:r>
          </w:p>
        </w:tc>
        <w:tc>
          <w:tcPr>
            <w:tcW w:w="5058" w:type="dxa"/>
          </w:tcPr>
          <w:p w14:paraId="30B8C305" w14:textId="77777777" w:rsidR="002E3549" w:rsidRDefault="002E3549" w:rsidP="002E3549">
            <w:pPr>
              <w:jc w:val="both"/>
            </w:pPr>
            <w:r w:rsidRPr="0054203F">
              <w:rPr>
                <w:bCs/>
              </w:rPr>
              <w:t>Специфична цел № 1 „</w:t>
            </w:r>
            <w:r w:rsidRPr="0054203F">
              <w:t>Увеличаване на прозрачността и ускоряване на правораздаването чрез реформа в структурата, процедурите и организацията на съдебната система</w:t>
            </w:r>
            <w:r w:rsidRPr="0054203F">
              <w:rPr>
                <w:bCs/>
              </w:rPr>
              <w:t>“</w:t>
            </w:r>
          </w:p>
        </w:tc>
      </w:tr>
      <w:tr w:rsidR="002E3549" w14:paraId="56A2DD83" w14:textId="77777777" w:rsidTr="00E47080">
        <w:tc>
          <w:tcPr>
            <w:tcW w:w="562" w:type="dxa"/>
          </w:tcPr>
          <w:p w14:paraId="1A504925" w14:textId="77777777" w:rsidR="002E3549" w:rsidRPr="00E47080" w:rsidRDefault="00E47080" w:rsidP="00E47080">
            <w:pPr>
              <w:rPr>
                <w:lang w:val="en-US"/>
              </w:rPr>
            </w:pPr>
            <w:r>
              <w:rPr>
                <w:lang w:val="en-US"/>
              </w:rPr>
              <w:t>5.</w:t>
            </w:r>
          </w:p>
        </w:tc>
        <w:tc>
          <w:tcPr>
            <w:tcW w:w="3442" w:type="dxa"/>
          </w:tcPr>
          <w:p w14:paraId="1512D215" w14:textId="77777777" w:rsidR="002E3549" w:rsidRDefault="00E47080">
            <w:proofErr w:type="spellStart"/>
            <w:r w:rsidRPr="0054203F">
              <w:rPr>
                <w:b/>
                <w:bCs/>
                <w:lang w:eastAsia="fr-FR"/>
              </w:rPr>
              <w:t>Демаркация</w:t>
            </w:r>
            <w:proofErr w:type="spellEnd"/>
            <w:r w:rsidRPr="0054203F">
              <w:rPr>
                <w:b/>
                <w:bCs/>
                <w:lang w:eastAsia="fr-FR"/>
              </w:rPr>
              <w:t xml:space="preserve"> и </w:t>
            </w:r>
            <w:proofErr w:type="spellStart"/>
            <w:r w:rsidRPr="0054203F">
              <w:rPr>
                <w:b/>
                <w:bCs/>
                <w:lang w:eastAsia="fr-FR"/>
              </w:rPr>
              <w:t>допълняемост</w:t>
            </w:r>
            <w:proofErr w:type="spellEnd"/>
          </w:p>
        </w:tc>
        <w:tc>
          <w:tcPr>
            <w:tcW w:w="5058" w:type="dxa"/>
          </w:tcPr>
          <w:p w14:paraId="0E12279B" w14:textId="2845D393" w:rsidR="00E47080" w:rsidRPr="00A82AE0" w:rsidRDefault="00E47080" w:rsidP="00E47080">
            <w:pPr>
              <w:jc w:val="both"/>
              <w:rPr>
                <w:bCs/>
                <w:lang w:val="ru-RU"/>
              </w:rPr>
            </w:pPr>
            <w:r w:rsidRPr="0054203F">
              <w:rPr>
                <w:bCs/>
              </w:rPr>
              <w:t>Процедурата надгражда резултатите в областта на съдебната система и неправителствения сектор, постигнати в рамките на Приоритетни оси 1 и 2 на О</w:t>
            </w:r>
            <w:r>
              <w:rPr>
                <w:bCs/>
              </w:rPr>
              <w:t>перативна програма „</w:t>
            </w:r>
            <w:r w:rsidRPr="0054203F">
              <w:rPr>
                <w:bCs/>
              </w:rPr>
              <w:t>А</w:t>
            </w:r>
            <w:r>
              <w:rPr>
                <w:bCs/>
              </w:rPr>
              <w:t>дминистративен капацитет“</w:t>
            </w:r>
            <w:r w:rsidRPr="0054203F">
              <w:rPr>
                <w:bCs/>
              </w:rPr>
              <w:t xml:space="preserve"> през програмен период 2007-2013 г.</w:t>
            </w:r>
            <w:r w:rsidRPr="0054203F">
              <w:rPr>
                <w:b/>
                <w:bCs/>
              </w:rPr>
              <w:t xml:space="preserve"> </w:t>
            </w:r>
            <w:r w:rsidRPr="0054203F">
              <w:rPr>
                <w:bCs/>
              </w:rPr>
              <w:t>и допълва процедури „Стратегически проекти в изпълнение на Актуализирана стратегия за продължаване на реформата в съдебната система и стратегията за въвеждане на електронно управление и електронно правосъдие в сектор „Правосъдие” 2014-2020 г.“ и „Повишаване на компетентността на магистратите и съдебните служители чрез ефективно обучение в Националния институт на правосъдието“, насочена към съдебната система от ИГРП 2015 г.</w:t>
            </w:r>
            <w:r w:rsidRPr="00A82AE0">
              <w:rPr>
                <w:bCs/>
                <w:lang w:val="ru-RU"/>
              </w:rPr>
              <w:t xml:space="preserve"> </w:t>
            </w:r>
          </w:p>
          <w:p w14:paraId="69860CB8" w14:textId="51C9140A" w:rsidR="002E3549" w:rsidRDefault="00E47080" w:rsidP="008034D9">
            <w:pPr>
              <w:jc w:val="both"/>
            </w:pPr>
            <w:r w:rsidRPr="008034D9">
              <w:rPr>
                <w:bCs/>
              </w:rPr>
              <w:t xml:space="preserve">Действия/мерки, предвидени да бъдат подкрепени по </w:t>
            </w:r>
            <w:r w:rsidR="008034D9" w:rsidRPr="008034D9">
              <w:rPr>
                <w:bCs/>
                <w:lang w:eastAsia="bg-BG"/>
              </w:rPr>
              <w:t>Пътна карти към Актуализираната стратегия за продължаване на реформата в съдебната система и Пътна карта към Стратегията за въвеждане на електронно управление и електронно правосъдие в сектор „Правосъдие“ 2014- 2020 г.</w:t>
            </w:r>
            <w:r w:rsidRPr="008034D9">
              <w:rPr>
                <w:bCs/>
              </w:rPr>
              <w:t>, и изпълнени от посочените в</w:t>
            </w:r>
            <w:r w:rsidR="008034D9" w:rsidRPr="008034D9">
              <w:rPr>
                <w:bCs/>
              </w:rPr>
              <w:t xml:space="preserve"> двете пътни карти</w:t>
            </w:r>
            <w:r w:rsidRPr="008034D9">
              <w:rPr>
                <w:bCs/>
              </w:rPr>
              <w:t xml:space="preserve"> отговорни </w:t>
            </w:r>
            <w:r w:rsidRPr="008034D9">
              <w:rPr>
                <w:bCs/>
              </w:rPr>
              <w:lastRenderedPageBreak/>
              <w:t>институции не са допустими за финансиране по тази процедура.</w:t>
            </w:r>
          </w:p>
        </w:tc>
      </w:tr>
      <w:tr w:rsidR="002E3549" w14:paraId="20C7500F" w14:textId="77777777" w:rsidTr="00E47080">
        <w:tc>
          <w:tcPr>
            <w:tcW w:w="562" w:type="dxa"/>
          </w:tcPr>
          <w:p w14:paraId="4118CF4B" w14:textId="77777777" w:rsidR="002E3549" w:rsidRPr="00E47080" w:rsidRDefault="00E47080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6.</w:t>
            </w:r>
          </w:p>
        </w:tc>
        <w:tc>
          <w:tcPr>
            <w:tcW w:w="3442" w:type="dxa"/>
          </w:tcPr>
          <w:p w14:paraId="6FD54EE1" w14:textId="77777777" w:rsidR="002E3549" w:rsidRDefault="00E47080">
            <w:r w:rsidRPr="0054203F">
              <w:rPr>
                <w:b/>
                <w:bCs/>
                <w:lang w:eastAsia="fr-FR"/>
              </w:rPr>
              <w:t>Срок за изпълнение на проектите</w:t>
            </w:r>
          </w:p>
        </w:tc>
        <w:tc>
          <w:tcPr>
            <w:tcW w:w="5058" w:type="dxa"/>
          </w:tcPr>
          <w:p w14:paraId="653FF763" w14:textId="4203C81A" w:rsidR="00E47080" w:rsidRPr="0054203F" w:rsidRDefault="00E47080" w:rsidP="00E47080">
            <w:pPr>
              <w:ind w:left="1521" w:hanging="1521"/>
              <w:jc w:val="both"/>
              <w:rPr>
                <w:bCs/>
              </w:rPr>
            </w:pPr>
            <w:r w:rsidRPr="0054203F">
              <w:rPr>
                <w:bCs/>
              </w:rPr>
              <w:t>2017-</w:t>
            </w:r>
            <w:r w:rsidR="00DC2FB7" w:rsidRPr="0054203F">
              <w:rPr>
                <w:bCs/>
              </w:rPr>
              <w:t>201</w:t>
            </w:r>
            <w:r w:rsidR="00DC2FB7" w:rsidRPr="00360880">
              <w:rPr>
                <w:bCs/>
                <w:lang w:val="ru-RU"/>
              </w:rPr>
              <w:t>9</w:t>
            </w:r>
            <w:r w:rsidR="00360880">
              <w:rPr>
                <w:bCs/>
              </w:rPr>
              <w:t xml:space="preserve"> </w:t>
            </w:r>
            <w:r w:rsidRPr="0054203F">
              <w:rPr>
                <w:bCs/>
              </w:rPr>
              <w:t xml:space="preserve">г. – за </w:t>
            </w:r>
            <w:r>
              <w:rPr>
                <w:bCs/>
              </w:rPr>
              <w:t>проекти, одобрени след подаване на съответните проектни предложения в</w:t>
            </w:r>
            <w:r w:rsidRPr="00A82AE0">
              <w:rPr>
                <w:bCs/>
                <w:lang w:val="ru-RU"/>
              </w:rPr>
              <w:t xml:space="preserve"> </w:t>
            </w:r>
            <w:r>
              <w:rPr>
                <w:bCs/>
              </w:rPr>
              <w:t xml:space="preserve">рамките на </w:t>
            </w:r>
            <w:r w:rsidRPr="0054203F">
              <w:rPr>
                <w:bCs/>
              </w:rPr>
              <w:t>първи</w:t>
            </w:r>
            <w:r>
              <w:rPr>
                <w:bCs/>
              </w:rPr>
              <w:t>я</w:t>
            </w:r>
            <w:r w:rsidRPr="0054203F">
              <w:rPr>
                <w:bCs/>
              </w:rPr>
              <w:t xml:space="preserve"> срок за кандидатстване</w:t>
            </w:r>
            <w:r>
              <w:rPr>
                <w:bCs/>
              </w:rPr>
              <w:t>, определен в насоките за кандидатстване по процедурата</w:t>
            </w:r>
          </w:p>
          <w:p w14:paraId="62026F4C" w14:textId="77777777" w:rsidR="00E47080" w:rsidRPr="0054203F" w:rsidRDefault="00E47080" w:rsidP="00E47080">
            <w:pPr>
              <w:ind w:left="1521" w:hanging="1521"/>
              <w:jc w:val="both"/>
              <w:rPr>
                <w:bCs/>
              </w:rPr>
            </w:pPr>
            <w:r w:rsidRPr="0054203F">
              <w:rPr>
                <w:bCs/>
              </w:rPr>
              <w:t xml:space="preserve">2019-2020 г. - за </w:t>
            </w:r>
            <w:r>
              <w:rPr>
                <w:bCs/>
              </w:rPr>
              <w:t xml:space="preserve">проекти, </w:t>
            </w:r>
            <w:r w:rsidRPr="00D57318">
              <w:rPr>
                <w:bCs/>
              </w:rPr>
              <w:t xml:space="preserve">одобрени след подаване на съответните проектни предложения в рамките на </w:t>
            </w:r>
            <w:r w:rsidRPr="0054203F">
              <w:rPr>
                <w:bCs/>
              </w:rPr>
              <w:t>втори</w:t>
            </w:r>
            <w:r>
              <w:rPr>
                <w:bCs/>
              </w:rPr>
              <w:t>я</w:t>
            </w:r>
            <w:r w:rsidRPr="0054203F">
              <w:rPr>
                <w:bCs/>
              </w:rPr>
              <w:t xml:space="preserve"> срок за кандидатстване</w:t>
            </w:r>
            <w:r>
              <w:rPr>
                <w:bCs/>
              </w:rPr>
              <w:t>, определен в насоките за кандидатстване по процедурата</w:t>
            </w:r>
          </w:p>
          <w:p w14:paraId="1274AAC0" w14:textId="5D8EAA7A" w:rsidR="002E3549" w:rsidRPr="00A82AE0" w:rsidRDefault="00E47080" w:rsidP="00E47080">
            <w:pPr>
              <w:ind w:left="1553" w:hanging="1553"/>
              <w:jc w:val="both"/>
              <w:rPr>
                <w:lang w:val="ru-RU"/>
              </w:rPr>
            </w:pPr>
            <w:r w:rsidRPr="0054203F">
              <w:rPr>
                <w:bCs/>
              </w:rPr>
              <w:t xml:space="preserve">2021-2022 г. - за </w:t>
            </w:r>
            <w:r w:rsidRPr="00D57318">
              <w:rPr>
                <w:bCs/>
              </w:rPr>
              <w:t>проекти</w:t>
            </w:r>
            <w:r>
              <w:rPr>
                <w:bCs/>
              </w:rPr>
              <w:t xml:space="preserve">, </w:t>
            </w:r>
            <w:r w:rsidRPr="00D57318">
              <w:rPr>
                <w:bCs/>
              </w:rPr>
              <w:t xml:space="preserve">одобрени след подаване на съответните проектни предложения в рамките на </w:t>
            </w:r>
            <w:r w:rsidRPr="0054203F">
              <w:rPr>
                <w:bCs/>
              </w:rPr>
              <w:t>трети</w:t>
            </w:r>
            <w:r>
              <w:rPr>
                <w:bCs/>
              </w:rPr>
              <w:t>я</w:t>
            </w:r>
            <w:r w:rsidRPr="0054203F">
              <w:rPr>
                <w:bCs/>
              </w:rPr>
              <w:t xml:space="preserve"> срок за кандидатстване</w:t>
            </w:r>
            <w:r w:rsidRPr="00D57318">
              <w:rPr>
                <w:bCs/>
              </w:rPr>
              <w:t xml:space="preserve"> определен в насоките за кандидатстване по процедурата</w:t>
            </w:r>
          </w:p>
        </w:tc>
      </w:tr>
      <w:tr w:rsidR="002E3549" w14:paraId="32B9DFA2" w14:textId="77777777" w:rsidTr="00E47080">
        <w:tc>
          <w:tcPr>
            <w:tcW w:w="562" w:type="dxa"/>
          </w:tcPr>
          <w:p w14:paraId="19570DCB" w14:textId="77777777" w:rsidR="002E3549" w:rsidRPr="00E47080" w:rsidRDefault="00E47080" w:rsidP="00E47080">
            <w:pPr>
              <w:rPr>
                <w:lang w:val="en-US"/>
              </w:rPr>
            </w:pPr>
            <w:r>
              <w:rPr>
                <w:lang w:val="en-US"/>
              </w:rPr>
              <w:t>7.</w:t>
            </w:r>
          </w:p>
        </w:tc>
        <w:tc>
          <w:tcPr>
            <w:tcW w:w="3442" w:type="dxa"/>
          </w:tcPr>
          <w:p w14:paraId="3BB8DD05" w14:textId="77777777" w:rsidR="002E3549" w:rsidRDefault="00E47080">
            <w:r w:rsidRPr="0054203F">
              <w:rPr>
                <w:b/>
                <w:bCs/>
                <w:lang w:eastAsia="fr-FR"/>
              </w:rPr>
              <w:t>Териториален обхват</w:t>
            </w:r>
          </w:p>
        </w:tc>
        <w:tc>
          <w:tcPr>
            <w:tcW w:w="5058" w:type="dxa"/>
          </w:tcPr>
          <w:p w14:paraId="3E03CC1A" w14:textId="77777777" w:rsidR="002E3549" w:rsidRPr="00E47080" w:rsidRDefault="00E47080">
            <w:pPr>
              <w:rPr>
                <w:lang w:val="en-US"/>
              </w:rPr>
            </w:pPr>
            <w:r w:rsidRPr="0054203F">
              <w:rPr>
                <w:bCs/>
              </w:rPr>
              <w:t>Република България</w:t>
            </w:r>
          </w:p>
        </w:tc>
      </w:tr>
      <w:tr w:rsidR="002E3549" w14:paraId="375B7FB3" w14:textId="77777777" w:rsidTr="00E47080">
        <w:tc>
          <w:tcPr>
            <w:tcW w:w="562" w:type="dxa"/>
          </w:tcPr>
          <w:p w14:paraId="1FC509B1" w14:textId="77777777" w:rsidR="002E3549" w:rsidRPr="00E47080" w:rsidRDefault="00E47080" w:rsidP="00E47080">
            <w:pPr>
              <w:rPr>
                <w:lang w:val="en-US"/>
              </w:rPr>
            </w:pPr>
            <w:r>
              <w:rPr>
                <w:lang w:val="en-US"/>
              </w:rPr>
              <w:t>8.</w:t>
            </w:r>
          </w:p>
        </w:tc>
        <w:tc>
          <w:tcPr>
            <w:tcW w:w="3442" w:type="dxa"/>
          </w:tcPr>
          <w:p w14:paraId="65119BD9" w14:textId="77777777" w:rsidR="002E3549" w:rsidRDefault="00E47080">
            <w:r w:rsidRPr="0054203F">
              <w:rPr>
                <w:b/>
                <w:bCs/>
                <w:lang w:eastAsia="fr-FR"/>
              </w:rPr>
              <w:t>Начин на реализация</w:t>
            </w:r>
          </w:p>
        </w:tc>
        <w:tc>
          <w:tcPr>
            <w:tcW w:w="5058" w:type="dxa"/>
          </w:tcPr>
          <w:p w14:paraId="6F94B7C9" w14:textId="343DACDA" w:rsidR="002E3549" w:rsidRDefault="00E47080" w:rsidP="00C2278E">
            <w:pPr>
              <w:jc w:val="both"/>
            </w:pPr>
            <w:r w:rsidRPr="0054203F">
              <w:rPr>
                <w:bCs/>
              </w:rPr>
              <w:t>Процедура чрез подбор с</w:t>
            </w:r>
            <w:r w:rsidR="00C2278E">
              <w:rPr>
                <w:bCs/>
              </w:rPr>
              <w:t xml:space="preserve">ъгласно чл. 25, ал. 1, т. 1 от </w:t>
            </w:r>
            <w:r w:rsidRPr="0054203F">
              <w:rPr>
                <w:bCs/>
              </w:rPr>
              <w:t>Закона за управление на средствата от Европейските структурни и инвестиционни фондове</w:t>
            </w:r>
            <w:r w:rsidR="00C2278E">
              <w:rPr>
                <w:bCs/>
              </w:rPr>
              <w:t xml:space="preserve"> (ЗУСЕСИФ)</w:t>
            </w:r>
            <w:r w:rsidR="00C2278E">
              <w:rPr>
                <w:rStyle w:val="FootnoteReference"/>
                <w:bCs/>
              </w:rPr>
              <w:footnoteReference w:id="1"/>
            </w:r>
          </w:p>
        </w:tc>
      </w:tr>
      <w:tr w:rsidR="002E3549" w14:paraId="15F30C76" w14:textId="77777777" w:rsidTr="00E47080">
        <w:tc>
          <w:tcPr>
            <w:tcW w:w="562" w:type="dxa"/>
          </w:tcPr>
          <w:p w14:paraId="4C3EBC3C" w14:textId="77777777" w:rsidR="002E3549" w:rsidRPr="00E47080" w:rsidRDefault="00E47080">
            <w:pPr>
              <w:rPr>
                <w:lang w:val="en-US"/>
              </w:rPr>
            </w:pPr>
            <w:r>
              <w:rPr>
                <w:lang w:val="en-US"/>
              </w:rPr>
              <w:t>9.</w:t>
            </w:r>
          </w:p>
        </w:tc>
        <w:tc>
          <w:tcPr>
            <w:tcW w:w="3442" w:type="dxa"/>
          </w:tcPr>
          <w:p w14:paraId="1DC82B35" w14:textId="77777777" w:rsidR="002E3549" w:rsidRDefault="00E47080">
            <w:r w:rsidRPr="0054203F">
              <w:rPr>
                <w:b/>
                <w:bCs/>
                <w:lang w:eastAsia="fr-FR"/>
              </w:rPr>
              <w:t>Бюджет до (в лева)</w:t>
            </w:r>
          </w:p>
        </w:tc>
        <w:tc>
          <w:tcPr>
            <w:tcW w:w="5058" w:type="dxa"/>
          </w:tcPr>
          <w:p w14:paraId="232E48D4" w14:textId="77777777" w:rsidR="00E47080" w:rsidRPr="003A5026" w:rsidRDefault="00E47080" w:rsidP="00E47080">
            <w:pPr>
              <w:rPr>
                <w:bCs/>
              </w:rPr>
            </w:pPr>
            <w:r w:rsidRPr="003A5026">
              <w:rPr>
                <w:bCs/>
              </w:rPr>
              <w:t>Общ бюджет по процедурата - 5 000 000 лв.</w:t>
            </w:r>
            <w:r>
              <w:rPr>
                <w:bCs/>
              </w:rPr>
              <w:t>, разпределени както следва:</w:t>
            </w:r>
          </w:p>
          <w:p w14:paraId="41ACA5D0" w14:textId="00F4B83A" w:rsidR="00E47080" w:rsidRPr="003A5026" w:rsidRDefault="00E47080" w:rsidP="00E47080">
            <w:pPr>
              <w:ind w:left="1521" w:hanging="1521"/>
              <w:jc w:val="both"/>
              <w:rPr>
                <w:bCs/>
              </w:rPr>
            </w:pPr>
            <w:r w:rsidRPr="003A5026">
              <w:rPr>
                <w:bCs/>
              </w:rPr>
              <w:t>1 000 000 лв. - за първи</w:t>
            </w:r>
            <w:r>
              <w:rPr>
                <w:bCs/>
              </w:rPr>
              <w:t>я</w:t>
            </w:r>
            <w:r w:rsidRPr="003A5026">
              <w:rPr>
                <w:bCs/>
              </w:rPr>
              <w:t xml:space="preserve"> срок за кандидатстване</w:t>
            </w:r>
          </w:p>
          <w:p w14:paraId="549E82CE" w14:textId="77777777" w:rsidR="00573017" w:rsidRDefault="00E47080" w:rsidP="00573017">
            <w:pPr>
              <w:ind w:left="1553" w:hanging="1553"/>
              <w:jc w:val="both"/>
              <w:rPr>
                <w:bCs/>
              </w:rPr>
            </w:pPr>
            <w:r w:rsidRPr="003A5026">
              <w:rPr>
                <w:bCs/>
              </w:rPr>
              <w:t>2 000 000 лв. - за втори</w:t>
            </w:r>
            <w:r>
              <w:rPr>
                <w:bCs/>
              </w:rPr>
              <w:t>я</w:t>
            </w:r>
            <w:r w:rsidRPr="003A5026">
              <w:rPr>
                <w:bCs/>
              </w:rPr>
              <w:t xml:space="preserve"> срок за кандидатстване</w:t>
            </w:r>
          </w:p>
          <w:p w14:paraId="2264F40B" w14:textId="6D28389C" w:rsidR="002E3549" w:rsidRDefault="00E47080" w:rsidP="00573017">
            <w:pPr>
              <w:ind w:left="1553" w:hanging="1553"/>
              <w:jc w:val="both"/>
            </w:pPr>
            <w:r w:rsidRPr="00A1529C">
              <w:rPr>
                <w:bCs/>
              </w:rPr>
              <w:t xml:space="preserve">2 000 000 лв. - за </w:t>
            </w:r>
            <w:r w:rsidRPr="003A5026">
              <w:rPr>
                <w:bCs/>
              </w:rPr>
              <w:t>трети</w:t>
            </w:r>
            <w:r>
              <w:rPr>
                <w:bCs/>
              </w:rPr>
              <w:t>я</w:t>
            </w:r>
            <w:r w:rsidRPr="003A5026">
              <w:rPr>
                <w:bCs/>
              </w:rPr>
              <w:t xml:space="preserve"> срок за кандидатстване</w:t>
            </w:r>
          </w:p>
        </w:tc>
      </w:tr>
      <w:tr w:rsidR="002E3549" w14:paraId="40F92F48" w14:textId="77777777" w:rsidTr="00E47080">
        <w:tc>
          <w:tcPr>
            <w:tcW w:w="562" w:type="dxa"/>
          </w:tcPr>
          <w:p w14:paraId="2831C2C4" w14:textId="77777777" w:rsidR="002E3549" w:rsidRPr="00E47080" w:rsidRDefault="00E47080">
            <w:pPr>
              <w:rPr>
                <w:lang w:val="en-US"/>
              </w:rPr>
            </w:pPr>
            <w:r>
              <w:rPr>
                <w:lang w:val="en-US"/>
              </w:rPr>
              <w:t>10.</w:t>
            </w:r>
          </w:p>
        </w:tc>
        <w:tc>
          <w:tcPr>
            <w:tcW w:w="3442" w:type="dxa"/>
          </w:tcPr>
          <w:p w14:paraId="1809A003" w14:textId="231A374C" w:rsidR="002E3549" w:rsidRDefault="006C06AF" w:rsidP="006C06AF">
            <w:pPr>
              <w:jc w:val="both"/>
            </w:pPr>
            <w:r>
              <w:rPr>
                <w:b/>
                <w:bCs/>
                <w:lang w:eastAsia="fr-FR"/>
              </w:rPr>
              <w:t xml:space="preserve">Друго </w:t>
            </w:r>
          </w:p>
        </w:tc>
        <w:tc>
          <w:tcPr>
            <w:tcW w:w="5058" w:type="dxa"/>
          </w:tcPr>
          <w:p w14:paraId="6EDFD980" w14:textId="3FC81DB3" w:rsidR="00226F21" w:rsidRPr="00226F21" w:rsidRDefault="00226F21" w:rsidP="00226F21">
            <w:pPr>
              <w:jc w:val="both"/>
              <w:rPr>
                <w:bCs/>
              </w:rPr>
            </w:pPr>
            <w:r w:rsidRPr="00226F21">
              <w:rPr>
                <w:bCs/>
              </w:rPr>
              <w:t xml:space="preserve">Всеки кандидат може да подаде само едно проектно предложение </w:t>
            </w:r>
            <w:r>
              <w:rPr>
                <w:bCs/>
              </w:rPr>
              <w:t>за всеки срок на кандидатстване по процедурата</w:t>
            </w:r>
            <w:r w:rsidRPr="00226F21">
              <w:rPr>
                <w:bCs/>
              </w:rPr>
              <w:t>. В случай че кандидат е подал повече от едно</w:t>
            </w:r>
            <w:r>
              <w:rPr>
                <w:bCs/>
              </w:rPr>
              <w:t xml:space="preserve"> </w:t>
            </w:r>
            <w:r w:rsidRPr="00226F21">
              <w:rPr>
                <w:bCs/>
              </w:rPr>
              <w:t>проектно предложение, то до оценка ще бъде допуснато само първото по време на</w:t>
            </w:r>
            <w:r>
              <w:rPr>
                <w:bCs/>
              </w:rPr>
              <w:t xml:space="preserve"> </w:t>
            </w:r>
            <w:r w:rsidRPr="00226F21">
              <w:rPr>
                <w:bCs/>
              </w:rPr>
              <w:t>подаване проектно предложение.</w:t>
            </w:r>
          </w:p>
          <w:p w14:paraId="739D4DD4" w14:textId="7B28339D" w:rsidR="00226F21" w:rsidRPr="00226F21" w:rsidRDefault="00226F21" w:rsidP="00226F21">
            <w:pPr>
              <w:jc w:val="both"/>
              <w:rPr>
                <w:bCs/>
              </w:rPr>
            </w:pPr>
            <w:r w:rsidRPr="00226F21">
              <w:rPr>
                <w:bCs/>
              </w:rPr>
              <w:t>По настоящата процедура партньорството е допустимо, а не задължително</w:t>
            </w:r>
            <w:r>
              <w:rPr>
                <w:bCs/>
              </w:rPr>
              <w:t>.</w:t>
            </w:r>
            <w:r w:rsidRPr="00226F21">
              <w:rPr>
                <w:bCs/>
              </w:rPr>
              <w:t xml:space="preserve"> Един партньор може да у</w:t>
            </w:r>
            <w:r w:rsidR="006655A2">
              <w:rPr>
                <w:bCs/>
              </w:rPr>
              <w:t>частва в повече от едно проектно</w:t>
            </w:r>
            <w:r w:rsidRPr="00226F21">
              <w:rPr>
                <w:bCs/>
              </w:rPr>
              <w:t xml:space="preserve"> предложени</w:t>
            </w:r>
            <w:r w:rsidR="006655A2">
              <w:rPr>
                <w:bCs/>
              </w:rPr>
              <w:t>е</w:t>
            </w:r>
            <w:r>
              <w:rPr>
                <w:bCs/>
              </w:rPr>
              <w:t>.</w:t>
            </w:r>
          </w:p>
          <w:p w14:paraId="23B04B56" w14:textId="77777777" w:rsidR="00226F21" w:rsidRDefault="00226F21" w:rsidP="00E47080">
            <w:pPr>
              <w:jc w:val="both"/>
              <w:rPr>
                <w:bCs/>
              </w:rPr>
            </w:pPr>
          </w:p>
          <w:p w14:paraId="444C5F84" w14:textId="247750A1" w:rsidR="008034D9" w:rsidRPr="00637EF7" w:rsidRDefault="008034D9" w:rsidP="00E47080">
            <w:pPr>
              <w:jc w:val="both"/>
            </w:pPr>
            <w:r w:rsidRPr="00637EF7">
              <w:rPr>
                <w:bCs/>
              </w:rPr>
              <w:lastRenderedPageBreak/>
              <w:t xml:space="preserve">По процедурата няма да се финансират проекти, чиито дейности са стартирали и изпълнявани преди датата на сключване на договора за безвъзмездна финансова помощ. </w:t>
            </w:r>
          </w:p>
        </w:tc>
      </w:tr>
      <w:tr w:rsidR="00E47080" w14:paraId="64D667F3" w14:textId="77777777" w:rsidTr="00E47080">
        <w:tc>
          <w:tcPr>
            <w:tcW w:w="562" w:type="dxa"/>
            <w:shd w:val="clear" w:color="auto" w:fill="2E74B5" w:themeFill="accent1" w:themeFillShade="BF"/>
          </w:tcPr>
          <w:p w14:paraId="3297BF50" w14:textId="77777777" w:rsidR="00E47080" w:rsidRPr="00E47080" w:rsidRDefault="00E47080">
            <w:pPr>
              <w:rPr>
                <w:b/>
                <w:lang w:val="en-US"/>
              </w:rPr>
            </w:pPr>
            <w:r w:rsidRPr="00E47080">
              <w:rPr>
                <w:b/>
                <w:lang w:val="en-US"/>
              </w:rPr>
              <w:lastRenderedPageBreak/>
              <w:t>II.</w:t>
            </w:r>
          </w:p>
        </w:tc>
        <w:tc>
          <w:tcPr>
            <w:tcW w:w="8500" w:type="dxa"/>
            <w:gridSpan w:val="2"/>
            <w:shd w:val="clear" w:color="auto" w:fill="2E74B5" w:themeFill="accent1" w:themeFillShade="BF"/>
          </w:tcPr>
          <w:p w14:paraId="029337F5" w14:textId="77777777" w:rsidR="00E47080" w:rsidRPr="00E47080" w:rsidRDefault="00E47080">
            <w:pPr>
              <w:rPr>
                <w:b/>
              </w:rPr>
            </w:pPr>
            <w:r w:rsidRPr="00E47080">
              <w:rPr>
                <w:b/>
              </w:rPr>
              <w:t>СПЕЦИФИЧНИ КРИТЕРИИ ЗА ДОПУСТИМОСТ</w:t>
            </w:r>
          </w:p>
        </w:tc>
      </w:tr>
      <w:tr w:rsidR="00E47080" w14:paraId="44ACECA3" w14:textId="77777777" w:rsidTr="00E47080">
        <w:tc>
          <w:tcPr>
            <w:tcW w:w="562" w:type="dxa"/>
          </w:tcPr>
          <w:p w14:paraId="105ECD18" w14:textId="77777777" w:rsidR="00E47080" w:rsidRPr="00E47080" w:rsidRDefault="00E47080">
            <w:pPr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3442" w:type="dxa"/>
          </w:tcPr>
          <w:p w14:paraId="1FEEC6D8" w14:textId="77777777" w:rsidR="00E47080" w:rsidRDefault="00E47080">
            <w:r w:rsidRPr="00A1529C">
              <w:rPr>
                <w:b/>
                <w:bCs/>
                <w:lang w:eastAsia="fr-FR"/>
              </w:rPr>
              <w:t>Цели на процедурата</w:t>
            </w:r>
          </w:p>
        </w:tc>
        <w:tc>
          <w:tcPr>
            <w:tcW w:w="5058" w:type="dxa"/>
          </w:tcPr>
          <w:p w14:paraId="264F1DFE" w14:textId="347D8C96" w:rsidR="00E47080" w:rsidRPr="007D7E84" w:rsidRDefault="00302B52" w:rsidP="00347229">
            <w:pPr>
              <w:pStyle w:val="ListParagraph"/>
              <w:numPr>
                <w:ilvl w:val="0"/>
                <w:numId w:val="2"/>
              </w:numPr>
              <w:ind w:left="284" w:hanging="284"/>
              <w:jc w:val="both"/>
              <w:rPr>
                <w:bCs/>
              </w:rPr>
            </w:pPr>
            <w:r w:rsidRPr="00DC2FB7">
              <w:rPr>
                <w:rFonts w:cs="Times New Roman"/>
                <w:szCs w:val="24"/>
              </w:rPr>
              <w:t xml:space="preserve">Осъществяване на граждански контрола върху реформата в съдебната система чрез по-активното включване на НПО и професионалните организации в процеса на разработването, наблюдението и оценката на стратегиите за </w:t>
            </w:r>
            <w:r w:rsidR="007D7E84" w:rsidRPr="00DC2FB7">
              <w:rPr>
                <w:rFonts w:cs="Times New Roman"/>
                <w:szCs w:val="24"/>
              </w:rPr>
              <w:t>реформа</w:t>
            </w:r>
          </w:p>
          <w:p w14:paraId="443E64BA" w14:textId="77777777" w:rsidR="00E47080" w:rsidRPr="00E47080" w:rsidRDefault="00E47080" w:rsidP="00347229">
            <w:pPr>
              <w:pStyle w:val="ListParagraph"/>
              <w:numPr>
                <w:ilvl w:val="0"/>
                <w:numId w:val="2"/>
              </w:numPr>
              <w:ind w:left="284" w:hanging="284"/>
              <w:jc w:val="both"/>
              <w:rPr>
                <w:bCs/>
              </w:rPr>
            </w:pPr>
            <w:r w:rsidRPr="00E47080">
              <w:rPr>
                <w:bCs/>
              </w:rPr>
              <w:t>Отправяне на предложения за подобрения в съдебната система</w:t>
            </w:r>
          </w:p>
          <w:p w14:paraId="28AB0A0A" w14:textId="77777777" w:rsidR="00E47080" w:rsidRPr="00A82AE0" w:rsidRDefault="00E47080" w:rsidP="003F672F">
            <w:pPr>
              <w:pStyle w:val="ListParagraph"/>
              <w:numPr>
                <w:ilvl w:val="0"/>
                <w:numId w:val="2"/>
              </w:numPr>
              <w:ind w:left="284" w:hanging="284"/>
              <w:jc w:val="both"/>
              <w:rPr>
                <w:lang w:val="ru-RU"/>
              </w:rPr>
            </w:pPr>
            <w:r w:rsidRPr="00A1529C">
              <w:t xml:space="preserve">Насърчаване и развитие на алтернативни методи за решаване на </w:t>
            </w:r>
            <w:r w:rsidRPr="00A82AE0">
              <w:t>правни спорове</w:t>
            </w:r>
          </w:p>
        </w:tc>
      </w:tr>
      <w:tr w:rsidR="00E47080" w14:paraId="2053E08D" w14:textId="77777777" w:rsidTr="00E47080">
        <w:tc>
          <w:tcPr>
            <w:tcW w:w="562" w:type="dxa"/>
          </w:tcPr>
          <w:p w14:paraId="38FEFC3C" w14:textId="77777777" w:rsidR="00E47080" w:rsidRDefault="00E47080">
            <w:r>
              <w:t>2.</w:t>
            </w:r>
          </w:p>
        </w:tc>
        <w:tc>
          <w:tcPr>
            <w:tcW w:w="3442" w:type="dxa"/>
          </w:tcPr>
          <w:p w14:paraId="291F6D87" w14:textId="77777777" w:rsidR="00E47080" w:rsidRDefault="00E47080">
            <w:r w:rsidRPr="00A1529C">
              <w:rPr>
                <w:b/>
                <w:bCs/>
                <w:lang w:eastAsia="fr-FR"/>
              </w:rPr>
              <w:t>Допустими кандидати</w:t>
            </w:r>
          </w:p>
        </w:tc>
        <w:tc>
          <w:tcPr>
            <w:tcW w:w="5058" w:type="dxa"/>
          </w:tcPr>
          <w:p w14:paraId="443B9FC6" w14:textId="1C0CC502" w:rsidR="00302B52" w:rsidRDefault="005738C3" w:rsidP="00DC2FB7">
            <w:pPr>
              <w:pStyle w:val="ListParagraph"/>
              <w:numPr>
                <w:ilvl w:val="1"/>
                <w:numId w:val="3"/>
              </w:numPr>
              <w:jc w:val="both"/>
            </w:pPr>
            <w:r>
              <w:t xml:space="preserve"> </w:t>
            </w:r>
            <w:r w:rsidR="00E47080">
              <w:t xml:space="preserve">Юридически лица с нестопанска цел за общественополезна дейност, </w:t>
            </w:r>
            <w:r w:rsidR="00302B52" w:rsidRPr="00302B52">
              <w:rPr>
                <w:rFonts w:cs="Times New Roman"/>
                <w:szCs w:val="24"/>
              </w:rPr>
              <w:t>вписани в Централния регистър на юридическите лица с нестопанска цел (ЦРЮЛНЦ) при Министерството на правосъдието (МП)</w:t>
            </w:r>
            <w:r w:rsidR="00302B52" w:rsidRPr="00125C96">
              <w:rPr>
                <w:rFonts w:cs="Times New Roman"/>
                <w:szCs w:val="24"/>
                <w:lang w:val="en-US"/>
              </w:rPr>
              <w:t xml:space="preserve"> </w:t>
            </w:r>
            <w:r w:rsidR="00302B52" w:rsidRPr="005738C3">
              <w:rPr>
                <w:rFonts w:cs="Times New Roman"/>
                <w:szCs w:val="24"/>
              </w:rPr>
              <w:t>съгласно изискванията чл. 45 от Закона за юридическите</w:t>
            </w:r>
            <w:r w:rsidR="00827CA4">
              <w:rPr>
                <w:rFonts w:cs="Times New Roman"/>
                <w:szCs w:val="24"/>
              </w:rPr>
              <w:t xml:space="preserve"> лица с нестопанска цел (ЗЮЛНЦ), </w:t>
            </w:r>
            <w:r w:rsidR="00827CA4" w:rsidRPr="00F07346">
              <w:t>които имат поне една приключена финансова година към датата на кандидатстване.</w:t>
            </w:r>
          </w:p>
          <w:p w14:paraId="2DF4B86C" w14:textId="27125DED" w:rsidR="00E47080" w:rsidRDefault="00E47080" w:rsidP="003869D8">
            <w:pPr>
              <w:numPr>
                <w:ilvl w:val="1"/>
                <w:numId w:val="3"/>
              </w:numPr>
              <w:tabs>
                <w:tab w:val="left" w:pos="419"/>
              </w:tabs>
              <w:ind w:left="357" w:hanging="357"/>
              <w:jc w:val="both"/>
            </w:pPr>
            <w:r w:rsidRPr="00F07346">
              <w:t xml:space="preserve">Професионални организации, регистрирани по Закона за юридическите лица с нестопанска цел или </w:t>
            </w:r>
            <w:r w:rsidR="003869D8" w:rsidRPr="00F07346">
              <w:t xml:space="preserve">регистрирани по/създадени със </w:t>
            </w:r>
            <w:r w:rsidRPr="00F07346">
              <w:t>специален закон, на лица, работещи в системата на съдебната власт (съдии, прокурори, следователи, съдии по вписванията, съдебни заседатели, съдебни служители, вещи лица и др.), на адвокати, нотариуси и други юристи, на медиатори и арбитри, както и на други лица,</w:t>
            </w:r>
            <w:r w:rsidR="00C2278E" w:rsidRPr="00F07346">
              <w:t xml:space="preserve"> работещи в сектор „Правосъдие“, които имат поне една приключена финансова година към датата на кандидатстване.</w:t>
            </w:r>
          </w:p>
        </w:tc>
      </w:tr>
      <w:tr w:rsidR="00E47080" w:rsidRPr="009B2C15" w14:paraId="5EA7D5AF" w14:textId="77777777" w:rsidTr="00E47080">
        <w:tc>
          <w:tcPr>
            <w:tcW w:w="562" w:type="dxa"/>
          </w:tcPr>
          <w:p w14:paraId="4CDA487B" w14:textId="77777777" w:rsidR="00E47080" w:rsidRDefault="00E47080" w:rsidP="00E47080">
            <w:r>
              <w:t>3.</w:t>
            </w:r>
          </w:p>
        </w:tc>
        <w:tc>
          <w:tcPr>
            <w:tcW w:w="3442" w:type="dxa"/>
          </w:tcPr>
          <w:p w14:paraId="6D1B668E" w14:textId="77777777" w:rsidR="00E47080" w:rsidRDefault="00E47080">
            <w:r w:rsidRPr="00A1529C">
              <w:rPr>
                <w:b/>
                <w:bCs/>
                <w:lang w:eastAsia="fr-FR"/>
              </w:rPr>
              <w:t>Допустими</w:t>
            </w:r>
            <w:r w:rsidRPr="00A1529C">
              <w:t xml:space="preserve"> </w:t>
            </w:r>
            <w:r w:rsidRPr="00A1529C">
              <w:rPr>
                <w:b/>
                <w:bCs/>
                <w:lang w:eastAsia="fr-FR"/>
              </w:rPr>
              <w:t>партньори</w:t>
            </w:r>
          </w:p>
        </w:tc>
        <w:tc>
          <w:tcPr>
            <w:tcW w:w="5058" w:type="dxa"/>
          </w:tcPr>
          <w:p w14:paraId="4F3A478D" w14:textId="06AA09CB" w:rsidR="00E47080" w:rsidRPr="00A1529C" w:rsidRDefault="00347229" w:rsidP="00347229">
            <w:pPr>
              <w:jc w:val="both"/>
            </w:pPr>
            <w:r w:rsidRPr="003869D8">
              <w:t>3.1.</w:t>
            </w:r>
            <w:r w:rsidR="00E47080" w:rsidRPr="003869D8">
              <w:t>Органи на съдебната власт;</w:t>
            </w:r>
          </w:p>
          <w:p w14:paraId="09D7D0B5" w14:textId="77777777" w:rsidR="00E47080" w:rsidRPr="00A1529C" w:rsidRDefault="00347229" w:rsidP="00347229">
            <w:pPr>
              <w:jc w:val="both"/>
            </w:pPr>
            <w:r>
              <w:t>3.2.</w:t>
            </w:r>
            <w:r w:rsidR="00E47080" w:rsidRPr="00A1529C">
              <w:t>Министерство</w:t>
            </w:r>
            <w:r w:rsidR="00E47080">
              <w:t>то</w:t>
            </w:r>
            <w:r w:rsidR="00E47080" w:rsidRPr="00A1529C">
              <w:t xml:space="preserve"> на правосъдието;</w:t>
            </w:r>
          </w:p>
          <w:p w14:paraId="3FE64642" w14:textId="77777777" w:rsidR="007821C3" w:rsidRDefault="00347229" w:rsidP="00DC2FB7">
            <w:pPr>
              <w:jc w:val="both"/>
            </w:pPr>
            <w:r>
              <w:t>3.3.</w:t>
            </w:r>
            <w:r w:rsidR="00E47080" w:rsidRPr="008D0EB4">
              <w:t xml:space="preserve">Юридически лица с нестопанска цел за общественополезна дейност, </w:t>
            </w:r>
            <w:r w:rsidR="007821C3" w:rsidRPr="007821C3">
              <w:rPr>
                <w:rFonts w:cs="Times New Roman"/>
                <w:szCs w:val="24"/>
              </w:rPr>
              <w:t>вписани в Централния регистър на юридическите лица с нестопанска цел (ЦРЮЛНЦ) при Министерството на правосъдието (МП)</w:t>
            </w:r>
            <w:r w:rsidR="007821C3" w:rsidRPr="00125C96">
              <w:rPr>
                <w:rFonts w:cs="Times New Roman"/>
                <w:szCs w:val="24"/>
                <w:lang w:val="en-US"/>
              </w:rPr>
              <w:t xml:space="preserve"> </w:t>
            </w:r>
            <w:r w:rsidR="007821C3" w:rsidRPr="000F11DA">
              <w:rPr>
                <w:rFonts w:cs="Times New Roman"/>
                <w:szCs w:val="24"/>
              </w:rPr>
              <w:t xml:space="preserve">съгласно изискванията чл. 45 от Закона за юридическите лица с нестопанска цел (ЗЮЛНЦ), </w:t>
            </w:r>
            <w:r w:rsidR="007821C3" w:rsidRPr="00F07346">
              <w:t>които имат поне една приключена финансова година към датата на кандидатстване.</w:t>
            </w:r>
          </w:p>
          <w:p w14:paraId="1E779BEA" w14:textId="4117AC02" w:rsidR="00E47080" w:rsidRDefault="00347229" w:rsidP="00347229">
            <w:pPr>
              <w:tabs>
                <w:tab w:val="left" w:pos="419"/>
              </w:tabs>
              <w:ind w:left="419" w:hanging="419"/>
              <w:jc w:val="both"/>
            </w:pPr>
            <w:r>
              <w:lastRenderedPageBreak/>
              <w:t>3.4.</w:t>
            </w:r>
            <w:r w:rsidR="00E47080" w:rsidRPr="00DE338A">
              <w:t xml:space="preserve">Професионални организации, регистрирани по Закона за юридическите лица с нестопанска цел или </w:t>
            </w:r>
            <w:r w:rsidR="003869D8" w:rsidRPr="003869D8">
              <w:t>регистрирани по/създадени със специален закон</w:t>
            </w:r>
            <w:r w:rsidR="00E47080" w:rsidRPr="00DE338A">
              <w:t>, на лица, работещи в системата на съдебната власт (съдии, прокурори, следователи, съдебни изпълнители, съдии по вписванията, съдебни заседатели, съдебни служители, вещи лица и преводачи и др.), на адвокати, нотариуси и други юристи, на медиатори</w:t>
            </w:r>
            <w:r w:rsidR="00E47080">
              <w:t xml:space="preserve"> и</w:t>
            </w:r>
            <w:r w:rsidR="00E47080" w:rsidRPr="00DE338A">
              <w:t xml:space="preserve"> арбитри, както и на други лица, работещи в сектор „Правосъдие“</w:t>
            </w:r>
            <w:r w:rsidR="00A83F51">
              <w:t xml:space="preserve">, </w:t>
            </w:r>
            <w:r w:rsidR="00A83F51" w:rsidRPr="00A83F51">
              <w:t>които имат поне една приключена финансова година към датата на кандидатстване</w:t>
            </w:r>
            <w:r w:rsidR="00E47080">
              <w:t>;</w:t>
            </w:r>
          </w:p>
          <w:p w14:paraId="6DA516B4" w14:textId="77777777" w:rsidR="00E47080" w:rsidRPr="00CE0640" w:rsidRDefault="00347229" w:rsidP="00347229">
            <w:pPr>
              <w:ind w:left="419" w:hanging="419"/>
              <w:jc w:val="both"/>
            </w:pPr>
            <w:r>
              <w:t>3.5.</w:t>
            </w:r>
            <w:r w:rsidR="00E47080" w:rsidRPr="00CE0640">
              <w:t>Социално-икономически партньори</w:t>
            </w:r>
            <w:r w:rsidRPr="00CE0640">
              <w:t xml:space="preserve"> (национално представителните организации на работодателите и на работниците и служителите)</w:t>
            </w:r>
            <w:r w:rsidR="00E47080" w:rsidRPr="00CE0640">
              <w:t>;</w:t>
            </w:r>
          </w:p>
          <w:p w14:paraId="7164E828" w14:textId="77777777" w:rsidR="00347229" w:rsidRPr="00347229" w:rsidRDefault="00347229" w:rsidP="00347229">
            <w:pPr>
              <w:jc w:val="both"/>
            </w:pPr>
            <w:r w:rsidRPr="00CE0640">
              <w:t>3.6.Националния институт на правосъдието</w:t>
            </w:r>
            <w:r w:rsidRPr="00347229">
              <w:t>;</w:t>
            </w:r>
          </w:p>
          <w:p w14:paraId="3719D94D" w14:textId="13858F82" w:rsidR="005738C3" w:rsidRDefault="00347229" w:rsidP="00347229">
            <w:pPr>
              <w:jc w:val="both"/>
            </w:pPr>
            <w:r>
              <w:t>3.7.</w:t>
            </w:r>
            <w:r w:rsidRPr="00347229">
              <w:t>Националното бюро за правна помощ</w:t>
            </w:r>
            <w:r w:rsidR="005738C3">
              <w:t>;</w:t>
            </w:r>
          </w:p>
          <w:p w14:paraId="472B2E9B" w14:textId="372DCCAD" w:rsidR="00E47080" w:rsidRDefault="005738C3" w:rsidP="00DC2FB7">
            <w:pPr>
              <w:tabs>
                <w:tab w:val="left" w:pos="423"/>
              </w:tabs>
              <w:ind w:left="423" w:hanging="423"/>
              <w:jc w:val="both"/>
            </w:pPr>
            <w:r>
              <w:t>3.8.Национален институт за помирение и арбитраж.</w:t>
            </w:r>
          </w:p>
        </w:tc>
      </w:tr>
      <w:tr w:rsidR="00E47080" w14:paraId="1E7AE1EE" w14:textId="77777777" w:rsidTr="00E47080">
        <w:tc>
          <w:tcPr>
            <w:tcW w:w="562" w:type="dxa"/>
          </w:tcPr>
          <w:p w14:paraId="67BD918F" w14:textId="77777777" w:rsidR="00E47080" w:rsidRDefault="00347229">
            <w:r>
              <w:lastRenderedPageBreak/>
              <w:t>4.</w:t>
            </w:r>
          </w:p>
        </w:tc>
        <w:tc>
          <w:tcPr>
            <w:tcW w:w="3442" w:type="dxa"/>
          </w:tcPr>
          <w:p w14:paraId="6E8605DF" w14:textId="23B0CE8D" w:rsidR="00E47080" w:rsidRPr="00140534" w:rsidRDefault="00347229" w:rsidP="00F07346">
            <w:pPr>
              <w:rPr>
                <w:highlight w:val="yellow"/>
              </w:rPr>
            </w:pPr>
            <w:r w:rsidRPr="00F07346">
              <w:rPr>
                <w:b/>
                <w:bCs/>
                <w:lang w:eastAsia="fr-FR"/>
              </w:rPr>
              <w:t xml:space="preserve">Изисквания към кандидатите и партньорите </w:t>
            </w:r>
          </w:p>
        </w:tc>
        <w:tc>
          <w:tcPr>
            <w:tcW w:w="5058" w:type="dxa"/>
          </w:tcPr>
          <w:p w14:paraId="42EB09AB" w14:textId="0F047931" w:rsidR="00A73FF7" w:rsidRPr="00125C96" w:rsidRDefault="006655A2" w:rsidP="00A73FF7">
            <w:pPr>
              <w:jc w:val="both"/>
              <w:rPr>
                <w:lang w:val="en-US"/>
              </w:rPr>
            </w:pPr>
            <w:r>
              <w:t>Кандидат</w:t>
            </w:r>
            <w:r w:rsidR="000F11DA">
              <w:t>ът</w:t>
            </w:r>
            <w:r w:rsidR="00B9453F" w:rsidRPr="00B9453F">
              <w:t>/Партньор</w:t>
            </w:r>
            <w:r w:rsidR="000F11DA">
              <w:t>ът</w:t>
            </w:r>
            <w:r w:rsidR="00B9453F">
              <w:t xml:space="preserve"> следва да</w:t>
            </w:r>
            <w:r w:rsidR="00B9453F" w:rsidRPr="00B9453F">
              <w:t xml:space="preserve"> разполага с</w:t>
            </w:r>
            <w:r w:rsidR="00A73FF7" w:rsidRPr="00B9453F">
              <w:t xml:space="preserve"> административен</w:t>
            </w:r>
            <w:r w:rsidR="00B9453F" w:rsidRPr="00B9453F">
              <w:t>,</w:t>
            </w:r>
            <w:r w:rsidR="00A73FF7" w:rsidRPr="00B9453F">
              <w:t xml:space="preserve"> </w:t>
            </w:r>
            <w:r w:rsidR="00B9453F" w:rsidRPr="00B9453F">
              <w:t>финансов и оперативен капацитет</w:t>
            </w:r>
            <w:r w:rsidR="00A73FF7" w:rsidRPr="00A73FF7">
              <w:t xml:space="preserve"> за изпълнение на проект</w:t>
            </w:r>
            <w:r w:rsidR="00B9453F">
              <w:t>а.</w:t>
            </w:r>
            <w:r w:rsidR="003F672F">
              <w:t xml:space="preserve"> </w:t>
            </w:r>
          </w:p>
          <w:p w14:paraId="5B09F8B6" w14:textId="77777777" w:rsidR="006655A2" w:rsidRDefault="006655A2" w:rsidP="00A73FF7">
            <w:pPr>
              <w:jc w:val="both"/>
            </w:pPr>
          </w:p>
          <w:p w14:paraId="3C1C2316" w14:textId="286658BF" w:rsidR="00F07346" w:rsidRPr="00140534" w:rsidRDefault="00A73FF7" w:rsidP="00B9453F">
            <w:pPr>
              <w:jc w:val="both"/>
              <w:rPr>
                <w:highlight w:val="yellow"/>
              </w:rPr>
            </w:pPr>
            <w:r>
              <w:t xml:space="preserve">За кандидата/партньора </w:t>
            </w:r>
            <w:r w:rsidR="00B9453F">
              <w:t xml:space="preserve">следва да </w:t>
            </w:r>
            <w:r>
              <w:t>не са налице обстоятелства по чл. 25, ал.</w:t>
            </w:r>
            <w:r w:rsidR="00B9453F">
              <w:t xml:space="preserve"> 2 от ЗУСЕСИФ, чл.7 от ПМС 162/2016</w:t>
            </w:r>
            <w:r w:rsidR="006655A2">
              <w:rPr>
                <w:rStyle w:val="FootnoteReference"/>
              </w:rPr>
              <w:footnoteReference w:id="2"/>
            </w:r>
            <w:r>
              <w:t>.</w:t>
            </w:r>
          </w:p>
        </w:tc>
      </w:tr>
      <w:tr w:rsidR="00E47080" w14:paraId="0524BC83" w14:textId="77777777" w:rsidTr="00E47080">
        <w:tc>
          <w:tcPr>
            <w:tcW w:w="562" w:type="dxa"/>
          </w:tcPr>
          <w:p w14:paraId="6B3A2041" w14:textId="41AF3A45" w:rsidR="00E47080" w:rsidRDefault="00347229">
            <w:r>
              <w:t>5.</w:t>
            </w:r>
          </w:p>
        </w:tc>
        <w:tc>
          <w:tcPr>
            <w:tcW w:w="3442" w:type="dxa"/>
          </w:tcPr>
          <w:p w14:paraId="2FF451AE" w14:textId="77777777" w:rsidR="00E47080" w:rsidRDefault="00347229">
            <w:r w:rsidRPr="00A1529C">
              <w:rPr>
                <w:b/>
                <w:bCs/>
                <w:lang w:eastAsia="fr-FR"/>
              </w:rPr>
              <w:t>Целеви групи</w:t>
            </w:r>
          </w:p>
        </w:tc>
        <w:tc>
          <w:tcPr>
            <w:tcW w:w="5058" w:type="dxa"/>
          </w:tcPr>
          <w:p w14:paraId="4AEE419F" w14:textId="77777777" w:rsidR="00347229" w:rsidRPr="00A1529C" w:rsidRDefault="00347229" w:rsidP="00D17810">
            <w:pPr>
              <w:numPr>
                <w:ilvl w:val="0"/>
                <w:numId w:val="4"/>
              </w:numPr>
              <w:ind w:left="284" w:hanging="284"/>
              <w:jc w:val="both"/>
              <w:rPr>
                <w:bCs/>
              </w:rPr>
            </w:pPr>
            <w:r w:rsidRPr="00A1529C">
              <w:t xml:space="preserve">Министерството на правосъдието; </w:t>
            </w:r>
          </w:p>
          <w:p w14:paraId="3158608E" w14:textId="77777777" w:rsidR="00347229" w:rsidRPr="00A1529C" w:rsidRDefault="00347229" w:rsidP="00D17810">
            <w:pPr>
              <w:numPr>
                <w:ilvl w:val="0"/>
                <w:numId w:val="4"/>
              </w:numPr>
              <w:ind w:left="284" w:hanging="284"/>
              <w:jc w:val="both"/>
              <w:rPr>
                <w:bCs/>
              </w:rPr>
            </w:pPr>
            <w:r w:rsidRPr="00A1529C">
              <w:t>Органи на съдебната власт;</w:t>
            </w:r>
          </w:p>
          <w:p w14:paraId="71730CDB" w14:textId="7FB9547E" w:rsidR="003E1922" w:rsidRDefault="003E1922" w:rsidP="00D17810">
            <w:pPr>
              <w:pStyle w:val="ListParagraph"/>
              <w:numPr>
                <w:ilvl w:val="0"/>
                <w:numId w:val="4"/>
              </w:numPr>
              <w:tabs>
                <w:tab w:val="left" w:pos="419"/>
              </w:tabs>
              <w:ind w:left="284" w:hanging="284"/>
              <w:jc w:val="both"/>
            </w:pPr>
            <w:r w:rsidRPr="008D0EB4">
              <w:t xml:space="preserve">Юридически лица с нестопанска цел за общественополезна дейност, </w:t>
            </w:r>
            <w:r w:rsidRPr="007821C3">
              <w:rPr>
                <w:rFonts w:cs="Times New Roman"/>
                <w:szCs w:val="24"/>
              </w:rPr>
              <w:t>вписани в Централния регистър на юридическите лица с нестопанска цел (ЦРЮЛНЦ) при Министерството на правосъдието (МП)</w:t>
            </w:r>
            <w:r w:rsidRPr="00125C96">
              <w:rPr>
                <w:rFonts w:cs="Times New Roman"/>
                <w:szCs w:val="24"/>
                <w:lang w:val="en-US"/>
              </w:rPr>
              <w:t xml:space="preserve"> </w:t>
            </w:r>
            <w:r w:rsidRPr="00C82100">
              <w:rPr>
                <w:rFonts w:cs="Times New Roman"/>
                <w:szCs w:val="24"/>
              </w:rPr>
              <w:t>съгласно изискванията чл. 45 от Закона за юридическите лица с нестопанска цел (ЗЮЛНЦ)</w:t>
            </w:r>
            <w:r>
              <w:rPr>
                <w:rFonts w:cs="Times New Roman"/>
                <w:szCs w:val="24"/>
              </w:rPr>
              <w:t>;</w:t>
            </w:r>
          </w:p>
          <w:p w14:paraId="24B803C1" w14:textId="40289F46" w:rsidR="00D17810" w:rsidRDefault="00D17810" w:rsidP="00D17810">
            <w:pPr>
              <w:pStyle w:val="ListParagraph"/>
              <w:numPr>
                <w:ilvl w:val="0"/>
                <w:numId w:val="4"/>
              </w:numPr>
              <w:tabs>
                <w:tab w:val="left" w:pos="419"/>
              </w:tabs>
              <w:ind w:left="284" w:hanging="284"/>
              <w:jc w:val="both"/>
            </w:pPr>
            <w:r w:rsidRPr="00DE338A">
              <w:t xml:space="preserve">Професионални организации, регистрирани по Закона за юридическите лица с нестопанска цел или по специален закон, на лица, работещи в системата на съдебната власт (съдии, прокурори, следователи, съдии по вписванията, съдебни заседатели, съдебни служители, вещи лица и др.), на </w:t>
            </w:r>
            <w:r w:rsidRPr="00DE338A">
              <w:lastRenderedPageBreak/>
              <w:t>адвокати, нотариуси и други юристи, на медиатори</w:t>
            </w:r>
            <w:r>
              <w:t xml:space="preserve"> и</w:t>
            </w:r>
            <w:r w:rsidRPr="00DE338A">
              <w:t xml:space="preserve"> арбитри, както и на други лица, работещи в сектор „Правосъдие“</w:t>
            </w:r>
            <w:r>
              <w:t>;</w:t>
            </w:r>
          </w:p>
          <w:p w14:paraId="4274CC05" w14:textId="77777777" w:rsidR="00347229" w:rsidRPr="00A1529C" w:rsidRDefault="00347229" w:rsidP="00D17810">
            <w:pPr>
              <w:numPr>
                <w:ilvl w:val="0"/>
                <w:numId w:val="4"/>
              </w:numPr>
              <w:ind w:left="284" w:hanging="284"/>
              <w:jc w:val="both"/>
            </w:pPr>
            <w:r w:rsidRPr="00A1529C">
              <w:t>Социално-икономически партньори</w:t>
            </w:r>
            <w:r>
              <w:t xml:space="preserve"> (</w:t>
            </w:r>
            <w:r w:rsidR="00D17810">
              <w:t>национално представителните организации на работодателите и на работниците и служителите</w:t>
            </w:r>
            <w:r>
              <w:t>)</w:t>
            </w:r>
            <w:r w:rsidRPr="00A1529C">
              <w:t>;</w:t>
            </w:r>
          </w:p>
          <w:p w14:paraId="15C3AB8B" w14:textId="77777777" w:rsidR="00347229" w:rsidRPr="00A1529C" w:rsidRDefault="00347229" w:rsidP="00D17810">
            <w:pPr>
              <w:numPr>
                <w:ilvl w:val="0"/>
                <w:numId w:val="4"/>
              </w:numPr>
              <w:ind w:left="284" w:hanging="284"/>
              <w:jc w:val="both"/>
              <w:rPr>
                <w:bCs/>
              </w:rPr>
            </w:pPr>
            <w:r w:rsidRPr="00A1529C">
              <w:rPr>
                <w:bCs/>
              </w:rPr>
              <w:t>Граждани;</w:t>
            </w:r>
          </w:p>
          <w:p w14:paraId="0E98B12A" w14:textId="77777777" w:rsidR="00347229" w:rsidRPr="00A1529C" w:rsidRDefault="00347229" w:rsidP="00D17810">
            <w:pPr>
              <w:numPr>
                <w:ilvl w:val="0"/>
                <w:numId w:val="4"/>
              </w:numPr>
              <w:ind w:left="284" w:hanging="284"/>
              <w:jc w:val="both"/>
              <w:rPr>
                <w:bCs/>
              </w:rPr>
            </w:pPr>
            <w:r w:rsidRPr="00A1529C">
              <w:rPr>
                <w:bCs/>
              </w:rPr>
              <w:t>Бизнес;</w:t>
            </w:r>
          </w:p>
          <w:p w14:paraId="12D15E8B" w14:textId="77777777" w:rsidR="00E47080" w:rsidRDefault="00347229" w:rsidP="00D17810">
            <w:pPr>
              <w:pStyle w:val="ListParagraph"/>
              <w:numPr>
                <w:ilvl w:val="0"/>
                <w:numId w:val="4"/>
              </w:numPr>
              <w:ind w:left="284" w:hanging="284"/>
            </w:pPr>
            <w:r w:rsidRPr="00D17810">
              <w:rPr>
                <w:bCs/>
              </w:rPr>
              <w:t>Общественост.</w:t>
            </w:r>
          </w:p>
        </w:tc>
      </w:tr>
      <w:tr w:rsidR="00E47080" w14:paraId="2E2E7C29" w14:textId="77777777" w:rsidTr="00E47080">
        <w:tc>
          <w:tcPr>
            <w:tcW w:w="562" w:type="dxa"/>
          </w:tcPr>
          <w:p w14:paraId="6D60A20A" w14:textId="77777777" w:rsidR="00E47080" w:rsidRDefault="00D17810">
            <w:r>
              <w:lastRenderedPageBreak/>
              <w:t>6.</w:t>
            </w:r>
          </w:p>
        </w:tc>
        <w:tc>
          <w:tcPr>
            <w:tcW w:w="3442" w:type="dxa"/>
          </w:tcPr>
          <w:p w14:paraId="2F35392B" w14:textId="77777777" w:rsidR="00E47080" w:rsidRPr="00A66CF3" w:rsidRDefault="00D17810">
            <w:r w:rsidRPr="00A66CF3">
              <w:rPr>
                <w:b/>
                <w:bCs/>
                <w:lang w:eastAsia="fr-FR"/>
              </w:rPr>
              <w:t xml:space="preserve">Допустими дейности </w:t>
            </w:r>
          </w:p>
        </w:tc>
        <w:tc>
          <w:tcPr>
            <w:tcW w:w="5058" w:type="dxa"/>
          </w:tcPr>
          <w:p w14:paraId="4DB133DA" w14:textId="77777777" w:rsidR="00AA7567" w:rsidRPr="00A66CF3" w:rsidRDefault="00A520B0" w:rsidP="00D17810">
            <w:pPr>
              <w:numPr>
                <w:ilvl w:val="0"/>
                <w:numId w:val="5"/>
              </w:numPr>
              <w:spacing w:before="60"/>
              <w:ind w:left="352" w:right="-62" w:hanging="352"/>
              <w:jc w:val="both"/>
            </w:pPr>
            <w:r w:rsidRPr="00A66CF3">
              <w:t>Извършване/разработване на а</w:t>
            </w:r>
            <w:r w:rsidR="00D17810" w:rsidRPr="00A66CF3">
              <w:t>нализи, проучвания, изследвания, методики, модели и оценки, свързани с дейността на съдебната система, чрез които се подпомага процеса на модернизация на системата и мониторинга на съдебната реформа</w:t>
            </w:r>
            <w:r w:rsidR="00AA7567" w:rsidRPr="00A66CF3">
              <w:t>;</w:t>
            </w:r>
          </w:p>
          <w:p w14:paraId="27DEF0E0" w14:textId="1DC6F3CE" w:rsidR="00D17810" w:rsidRPr="00A66CF3" w:rsidRDefault="00D17810" w:rsidP="00D17810">
            <w:pPr>
              <w:numPr>
                <w:ilvl w:val="0"/>
                <w:numId w:val="5"/>
              </w:numPr>
              <w:spacing w:before="60"/>
              <w:ind w:left="352" w:right="-62" w:hanging="352"/>
              <w:jc w:val="both"/>
            </w:pPr>
            <w:r w:rsidRPr="00A66CF3">
              <w:t>Проучване и пренасяне на добри практики и иновативни решения;</w:t>
            </w:r>
          </w:p>
          <w:p w14:paraId="2ECB9B71" w14:textId="77777777" w:rsidR="00D17810" w:rsidRPr="00A66CF3" w:rsidRDefault="00D17810" w:rsidP="00D17810">
            <w:pPr>
              <w:numPr>
                <w:ilvl w:val="0"/>
                <w:numId w:val="5"/>
              </w:numPr>
              <w:spacing w:before="60"/>
              <w:ind w:left="352" w:right="-62" w:hanging="352"/>
              <w:jc w:val="both"/>
            </w:pPr>
            <w:r w:rsidRPr="00A66CF3">
              <w:t>Събиране на данни и разработване на бази данни, които да подпомагат процеса на модернизация на системата  и мониторинга на съдебната реформа.</w:t>
            </w:r>
          </w:p>
          <w:p w14:paraId="5416FE43" w14:textId="4DAD1111" w:rsidR="00D17810" w:rsidRPr="00A66CF3" w:rsidRDefault="00D17810" w:rsidP="00AA7567">
            <w:pPr>
              <w:numPr>
                <w:ilvl w:val="0"/>
                <w:numId w:val="5"/>
              </w:numPr>
              <w:spacing w:before="60"/>
              <w:ind w:left="352" w:right="-62" w:hanging="352"/>
              <w:jc w:val="both"/>
            </w:pPr>
            <w:r w:rsidRPr="00A66CF3">
              <w:t xml:space="preserve">Провеждане на информационни кампании за популяризиране на системата за правна помощ сред гражданите; за алтернативните </w:t>
            </w:r>
            <w:r w:rsidR="00AA7567" w:rsidRPr="00A66CF3">
              <w:t>методи за</w:t>
            </w:r>
            <w:r w:rsidRPr="00A66CF3">
              <w:t xml:space="preserve"> </w:t>
            </w:r>
            <w:r w:rsidR="00AA7567" w:rsidRPr="00A66CF3">
              <w:t>решаване на правни спорове</w:t>
            </w:r>
            <w:r w:rsidRPr="00A66CF3">
              <w:t xml:space="preserve">/ техники за медиация и арбитраж/ арбитраж и арбитражни процедури; медиация и помирителен процес; </w:t>
            </w:r>
          </w:p>
          <w:p w14:paraId="112543BC" w14:textId="77777777" w:rsidR="00D17810" w:rsidRPr="00A66CF3" w:rsidRDefault="00D17810" w:rsidP="00D17810">
            <w:pPr>
              <w:numPr>
                <w:ilvl w:val="0"/>
                <w:numId w:val="5"/>
              </w:numPr>
              <w:spacing w:before="60"/>
              <w:ind w:left="352" w:right="-62" w:hanging="352"/>
              <w:jc w:val="both"/>
              <w:rPr>
                <w:bCs/>
              </w:rPr>
            </w:pPr>
            <w:r w:rsidRPr="00A66CF3">
              <w:rPr>
                <w:bCs/>
              </w:rPr>
              <w:t>Разработване на механизми и инструментариум за обратна връзка и оценка от страна на съдиите, прокурорите и следователите по въпросите на администрирането на съдебната власт;</w:t>
            </w:r>
          </w:p>
          <w:p w14:paraId="5DA42C48" w14:textId="77777777" w:rsidR="00D17810" w:rsidRPr="00A66CF3" w:rsidRDefault="00D17810" w:rsidP="00D17810">
            <w:pPr>
              <w:numPr>
                <w:ilvl w:val="0"/>
                <w:numId w:val="5"/>
              </w:numPr>
              <w:spacing w:before="60"/>
              <w:ind w:left="352" w:right="-62" w:hanging="352"/>
              <w:jc w:val="both"/>
              <w:rPr>
                <w:bCs/>
              </w:rPr>
            </w:pPr>
            <w:r w:rsidRPr="00A66CF3">
              <w:rPr>
                <w:bCs/>
              </w:rPr>
              <w:t xml:space="preserve">Разработване на механизми и инструментариум за обратна връзка и оценка от страна на гражданите и бизнеса за взаимоотношенията им с органите на съдебната власт; </w:t>
            </w:r>
          </w:p>
          <w:p w14:paraId="7E43ADB4" w14:textId="77777777" w:rsidR="00D17810" w:rsidRPr="00A66CF3" w:rsidRDefault="00D17810" w:rsidP="00D17810">
            <w:pPr>
              <w:numPr>
                <w:ilvl w:val="0"/>
                <w:numId w:val="5"/>
              </w:numPr>
              <w:spacing w:after="120"/>
              <w:ind w:left="352" w:hanging="352"/>
              <w:jc w:val="both"/>
              <w:rPr>
                <w:bCs/>
              </w:rPr>
            </w:pPr>
            <w:r w:rsidRPr="00A66CF3">
              <w:t>Провеждане на конференции, обществени обсъждания, кръгли маси, и др. със заинтересованите страни;</w:t>
            </w:r>
          </w:p>
          <w:p w14:paraId="056BD3A5" w14:textId="17DA75A9" w:rsidR="00D17810" w:rsidRPr="00A66CF3" w:rsidRDefault="00D17810" w:rsidP="00AA7567">
            <w:pPr>
              <w:numPr>
                <w:ilvl w:val="0"/>
                <w:numId w:val="5"/>
              </w:numPr>
              <w:spacing w:after="120"/>
              <w:ind w:left="352" w:hanging="352"/>
              <w:jc w:val="both"/>
            </w:pPr>
            <w:r w:rsidRPr="00A66CF3">
              <w:t>Провеждане на семинари и обучения за вещи лица, съдебни заседатели, адвокати, медиатори, арбитражни съдии;</w:t>
            </w:r>
          </w:p>
          <w:p w14:paraId="14A32128" w14:textId="6D6FA929" w:rsidR="00D17810" w:rsidRPr="00A66CF3" w:rsidRDefault="00D17810" w:rsidP="00D17810">
            <w:pPr>
              <w:numPr>
                <w:ilvl w:val="0"/>
                <w:numId w:val="5"/>
              </w:numPr>
              <w:spacing w:after="120"/>
              <w:ind w:left="352" w:hanging="352"/>
              <w:jc w:val="both"/>
              <w:rPr>
                <w:rStyle w:val="infolabel1"/>
                <w:rFonts w:cs="Times New Roman"/>
                <w:bCs/>
                <w:color w:val="auto"/>
                <w:sz w:val="24"/>
                <w:szCs w:val="24"/>
              </w:rPr>
            </w:pPr>
            <w:r w:rsidRPr="00A66CF3">
              <w:rPr>
                <w:rStyle w:val="infolabel1"/>
                <w:rFonts w:cs="Times New Roman"/>
                <w:bCs/>
                <w:color w:val="auto"/>
                <w:sz w:val="24"/>
                <w:szCs w:val="24"/>
              </w:rPr>
              <w:t xml:space="preserve">Мониторинг и отправяне на препоръки по дела за корупционни престъпления, </w:t>
            </w:r>
            <w:r w:rsidRPr="00A66CF3">
              <w:rPr>
                <w:rStyle w:val="infolabel1"/>
                <w:rFonts w:cs="Times New Roman"/>
                <w:bCs/>
                <w:color w:val="auto"/>
                <w:sz w:val="24"/>
                <w:szCs w:val="24"/>
              </w:rPr>
              <w:lastRenderedPageBreak/>
              <w:t xml:space="preserve">организирана престъпност и дела, засягащи лица, заемащи висши държавни длъжности (вкл. магистрати); </w:t>
            </w:r>
          </w:p>
          <w:p w14:paraId="513BC88F" w14:textId="77777777" w:rsidR="00D17810" w:rsidRPr="00A66CF3" w:rsidRDefault="00D17810" w:rsidP="00D17810">
            <w:pPr>
              <w:numPr>
                <w:ilvl w:val="0"/>
                <w:numId w:val="5"/>
              </w:numPr>
              <w:spacing w:after="120"/>
              <w:ind w:left="352" w:hanging="352"/>
              <w:jc w:val="both"/>
              <w:rPr>
                <w:rStyle w:val="infolabel1"/>
                <w:rFonts w:cs="Times New Roman"/>
                <w:bCs/>
                <w:color w:val="auto"/>
                <w:sz w:val="24"/>
                <w:szCs w:val="24"/>
              </w:rPr>
            </w:pPr>
            <w:r w:rsidRPr="00A66CF3">
              <w:rPr>
                <w:rStyle w:val="infolabel1"/>
                <w:rFonts w:cs="Times New Roman"/>
                <w:bCs/>
                <w:color w:val="auto"/>
                <w:sz w:val="24"/>
                <w:szCs w:val="24"/>
              </w:rPr>
              <w:t>Формулиране на предложения за въвеждане и популяризиране на подходите на възстановително правосъдие;</w:t>
            </w:r>
          </w:p>
          <w:p w14:paraId="7D89E54B" w14:textId="77777777" w:rsidR="00E47080" w:rsidRPr="00A66CF3" w:rsidRDefault="00D17810" w:rsidP="00D17810">
            <w:pPr>
              <w:pStyle w:val="ListParagraph"/>
              <w:numPr>
                <w:ilvl w:val="0"/>
                <w:numId w:val="5"/>
              </w:numPr>
              <w:ind w:left="278" w:hanging="278"/>
              <w:jc w:val="both"/>
            </w:pPr>
            <w:r w:rsidRPr="00A66CF3">
              <w:rPr>
                <w:rStyle w:val="infolabel1"/>
                <w:rFonts w:cs="Times New Roman"/>
                <w:bCs/>
                <w:color w:val="auto"/>
                <w:sz w:val="24"/>
                <w:szCs w:val="24"/>
              </w:rPr>
              <w:t xml:space="preserve">Организиране и провеждане на обучения </w:t>
            </w:r>
            <w:r w:rsidRPr="00A66CF3">
              <w:rPr>
                <w:rStyle w:val="infolabel1"/>
                <w:rFonts w:cs="Times New Roman"/>
                <w:color w:val="auto"/>
                <w:sz w:val="24"/>
                <w:szCs w:val="24"/>
              </w:rPr>
              <w:t>на служителите на бенефициента, участието на бенефициента в мрежи, включително НПО мрежи на европейско равнище.</w:t>
            </w:r>
          </w:p>
        </w:tc>
      </w:tr>
      <w:tr w:rsidR="00E47080" w14:paraId="352BC835" w14:textId="77777777" w:rsidTr="00E47080">
        <w:tc>
          <w:tcPr>
            <w:tcW w:w="562" w:type="dxa"/>
          </w:tcPr>
          <w:p w14:paraId="485E0BEF" w14:textId="221F1720" w:rsidR="00E47080" w:rsidRDefault="00D17810">
            <w:r>
              <w:lastRenderedPageBreak/>
              <w:t>7.</w:t>
            </w:r>
          </w:p>
        </w:tc>
        <w:tc>
          <w:tcPr>
            <w:tcW w:w="3442" w:type="dxa"/>
          </w:tcPr>
          <w:p w14:paraId="5AFC9DE6" w14:textId="77777777" w:rsidR="00E47080" w:rsidRDefault="00D17810">
            <w:r w:rsidRPr="00A1529C">
              <w:rPr>
                <w:b/>
                <w:bCs/>
                <w:lang w:eastAsia="fr-FR"/>
              </w:rPr>
              <w:t>Допустими разходи</w:t>
            </w:r>
          </w:p>
        </w:tc>
        <w:tc>
          <w:tcPr>
            <w:tcW w:w="5058" w:type="dxa"/>
          </w:tcPr>
          <w:p w14:paraId="284264BC" w14:textId="19745C43" w:rsidR="00D17810" w:rsidRDefault="00D17810" w:rsidP="00D17810">
            <w:pPr>
              <w:pStyle w:val="ListParagraph"/>
              <w:ind w:left="0"/>
              <w:jc w:val="both"/>
              <w:rPr>
                <w:b/>
                <w:bCs/>
                <w:szCs w:val="24"/>
                <w:lang w:eastAsia="en-GB"/>
              </w:rPr>
            </w:pPr>
            <w:r w:rsidRPr="00A1529C">
              <w:rPr>
                <w:b/>
                <w:bCs/>
                <w:szCs w:val="24"/>
                <w:lang w:eastAsia="en-GB"/>
              </w:rPr>
              <w:t>По тази процедура ще бъде приложена схема за финансиране с единна ставка в съответствие с член 14, параграф 2 от Регламент (ЕС) № 1304/2013</w:t>
            </w:r>
            <w:r w:rsidR="00637EF7">
              <w:rPr>
                <w:rStyle w:val="FootnoteReference"/>
                <w:b/>
                <w:bCs/>
                <w:szCs w:val="24"/>
                <w:lang w:eastAsia="en-GB"/>
              </w:rPr>
              <w:footnoteReference w:id="3"/>
            </w:r>
            <w:r w:rsidRPr="00A1529C">
              <w:rPr>
                <w:b/>
                <w:bCs/>
                <w:szCs w:val="24"/>
                <w:lang w:eastAsia="en-GB"/>
              </w:rPr>
              <w:t xml:space="preserve">. </w:t>
            </w:r>
          </w:p>
          <w:p w14:paraId="6FB97C28" w14:textId="77777777" w:rsidR="00A66CF3" w:rsidRPr="00A1529C" w:rsidRDefault="00A66CF3" w:rsidP="00D17810">
            <w:pPr>
              <w:pStyle w:val="ListParagraph"/>
              <w:ind w:left="0"/>
              <w:jc w:val="both"/>
              <w:rPr>
                <w:b/>
                <w:bCs/>
                <w:szCs w:val="24"/>
                <w:lang w:eastAsia="en-GB"/>
              </w:rPr>
            </w:pPr>
          </w:p>
          <w:p w14:paraId="161F5485" w14:textId="77777777" w:rsidR="00D17810" w:rsidRPr="00A1529C" w:rsidRDefault="00D17810" w:rsidP="00D17810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ind w:left="271" w:hanging="271"/>
              <w:jc w:val="both"/>
              <w:rPr>
                <w:bCs/>
                <w:szCs w:val="24"/>
                <w:lang w:eastAsia="en-GB"/>
              </w:rPr>
            </w:pPr>
            <w:r w:rsidRPr="00A1529C">
              <w:rPr>
                <w:bCs/>
                <w:szCs w:val="24"/>
                <w:lang w:eastAsia="en-GB"/>
              </w:rPr>
              <w:t>Преки разходи за персонал;</w:t>
            </w:r>
          </w:p>
          <w:p w14:paraId="4AFA2C16" w14:textId="62792B5C" w:rsidR="00D17810" w:rsidRPr="00E57427" w:rsidRDefault="00D17810" w:rsidP="00D17810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1529C">
              <w:rPr>
                <w:bCs/>
              </w:rPr>
              <w:t xml:space="preserve">Преките разходи за </w:t>
            </w:r>
            <w:r w:rsidRPr="00E57427">
              <w:rPr>
                <w:bCs/>
              </w:rPr>
              <w:t xml:space="preserve">персонал </w:t>
            </w:r>
            <w:r w:rsidR="00E57427" w:rsidRPr="00E57427">
              <w:rPr>
                <w:bCs/>
              </w:rPr>
              <w:t>са</w:t>
            </w:r>
            <w:r w:rsidRPr="00E57427">
              <w:rPr>
                <w:bCs/>
              </w:rPr>
              <w:t xml:space="preserve"> разходи за възнаграждения за изпълнение на проекта, произтичащи от правоотношение между работодател/ орган по назначаването и служител, от правоотношение по специален закон или от договори за предоставяне на услуги, сключени с външни за бенефициента лица (външен персонал).</w:t>
            </w:r>
          </w:p>
          <w:p w14:paraId="7A7A238D" w14:textId="6AB6F9DC" w:rsidR="00D17810" w:rsidRPr="00A1529C" w:rsidRDefault="00E10F50" w:rsidP="00D17810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57427">
              <w:rPr>
                <w:bCs/>
              </w:rPr>
              <w:t>„Разходи</w:t>
            </w:r>
            <w:r w:rsidR="00D17810" w:rsidRPr="00E57427">
              <w:rPr>
                <w:bCs/>
              </w:rPr>
              <w:t xml:space="preserve"> за възнаграждения</w:t>
            </w:r>
            <w:r w:rsidRPr="00E57427">
              <w:rPr>
                <w:bCs/>
              </w:rPr>
              <w:t>“</w:t>
            </w:r>
            <w:r w:rsidR="00D17810" w:rsidRPr="00E57427">
              <w:rPr>
                <w:bCs/>
              </w:rPr>
              <w:t xml:space="preserve"> са разходите за възнаграждения/заплати по трудово/служебно правоотношение или правоотношение по специален закон или по сключен договор за услуга с външни за бенефициента лица, вкл. разходите за задължителни социални и здравни осигурителни вноски за сметка на осигурителя, свързани с изпълнението на проекта.</w:t>
            </w:r>
          </w:p>
          <w:p w14:paraId="3AB2D714" w14:textId="51E32618" w:rsidR="00D17810" w:rsidRDefault="00D17810" w:rsidP="00D17810">
            <w:pPr>
              <w:autoSpaceDE w:val="0"/>
              <w:autoSpaceDN w:val="0"/>
              <w:adjustRightInd w:val="0"/>
              <w:jc w:val="both"/>
              <w:rPr>
                <w:rFonts w:eastAsia="SimSun"/>
                <w:lang w:eastAsia="bg-BG"/>
              </w:rPr>
            </w:pPr>
            <w:r w:rsidRPr="00A1529C">
              <w:rPr>
                <w:bCs/>
              </w:rPr>
              <w:t xml:space="preserve">Разходите за възнагражденията по договорите за предоставяне на услуги следва да са </w:t>
            </w:r>
            <w:r>
              <w:rPr>
                <w:bCs/>
              </w:rPr>
              <w:t xml:space="preserve">изчислени </w:t>
            </w:r>
            <w:r w:rsidRPr="00A1529C">
              <w:rPr>
                <w:bCs/>
              </w:rPr>
              <w:t>на база часова ставка</w:t>
            </w:r>
            <w:r>
              <w:rPr>
                <w:bCs/>
              </w:rPr>
              <w:t xml:space="preserve"> и да са за действително</w:t>
            </w:r>
            <w:r w:rsidRPr="00A06780">
              <w:rPr>
                <w:rFonts w:ascii="Verdana" w:hAnsi="Verdana"/>
              </w:rPr>
              <w:t xml:space="preserve"> </w:t>
            </w:r>
            <w:r w:rsidRPr="00A06780">
              <w:rPr>
                <w:bCs/>
              </w:rPr>
              <w:t>отработеното и отчетено време по съответните проекти</w:t>
            </w:r>
            <w:r w:rsidRPr="00855DC6">
              <w:rPr>
                <w:bCs/>
              </w:rPr>
              <w:t xml:space="preserve">. </w:t>
            </w:r>
            <w:r w:rsidRPr="0054203F">
              <w:rPr>
                <w:bCs/>
              </w:rPr>
              <w:t xml:space="preserve">Часовата ставка следва да е формирана в съответствие с </w:t>
            </w:r>
            <w:r w:rsidRPr="001A3A7D">
              <w:rPr>
                <w:bCs/>
              </w:rPr>
              <w:t xml:space="preserve">обичайната политика и практика установена за определяне на възнаграждения на бенефициента и/или партньора му и не трябва да надвишава размера на обичайните  възнаграждения на служителите в организацията за сходни дейности. </w:t>
            </w:r>
            <w:r w:rsidRPr="001A3A7D">
              <w:rPr>
                <w:rFonts w:eastAsia="SimSun"/>
                <w:lang w:eastAsia="bg-BG"/>
              </w:rPr>
              <w:t>Пр</w:t>
            </w:r>
            <w:r w:rsidRPr="00A1529C">
              <w:rPr>
                <w:rFonts w:eastAsia="SimSun"/>
                <w:lang w:eastAsia="bg-BG"/>
              </w:rPr>
              <w:t xml:space="preserve">и избор на външен персонал, кандидатът следва да се </w:t>
            </w:r>
            <w:r w:rsidRPr="00A1529C">
              <w:rPr>
                <w:rFonts w:eastAsia="SimSun"/>
                <w:lang w:eastAsia="bg-BG"/>
              </w:rPr>
              <w:lastRenderedPageBreak/>
              <w:t>съобрази с изискванията на чл</w:t>
            </w:r>
            <w:r w:rsidRPr="0073466A">
              <w:rPr>
                <w:rFonts w:eastAsia="SimSun"/>
                <w:lang w:eastAsia="bg-BG"/>
              </w:rPr>
              <w:t>. 50, ал. 2, т. 2 от ЗУСЕСИФ и да го определи по реда на ПМС 160 от 01 юли 2016 г.</w:t>
            </w:r>
            <w:r w:rsidR="00C2278E" w:rsidRPr="0073466A">
              <w:rPr>
                <w:rStyle w:val="FootnoteReference"/>
                <w:rFonts w:eastAsia="SimSun"/>
                <w:lang w:eastAsia="bg-BG"/>
              </w:rPr>
              <w:footnoteReference w:id="4"/>
            </w:r>
          </w:p>
          <w:p w14:paraId="0EDF827D" w14:textId="31038970" w:rsidR="00A4155E" w:rsidRPr="006C06AF" w:rsidRDefault="00A4155E" w:rsidP="00D17810">
            <w:pPr>
              <w:autoSpaceDE w:val="0"/>
              <w:autoSpaceDN w:val="0"/>
              <w:adjustRightInd w:val="0"/>
              <w:jc w:val="both"/>
              <w:rPr>
                <w:rFonts w:eastAsia="SimSun"/>
                <w:lang w:eastAsia="bg-BG"/>
              </w:rPr>
            </w:pPr>
            <w:r w:rsidRPr="006C06AF">
              <w:rPr>
                <w:rFonts w:eastAsia="SimSun"/>
                <w:lang w:eastAsia="bg-BG"/>
              </w:rPr>
              <w:t>Всички разходи за възнаграждения (</w:t>
            </w:r>
            <w:r w:rsidR="00366742" w:rsidRPr="006C06AF">
              <w:rPr>
                <w:bCs/>
              </w:rPr>
              <w:t xml:space="preserve">за </w:t>
            </w:r>
            <w:r w:rsidR="00862B1C" w:rsidRPr="006C06AF">
              <w:rPr>
                <w:bCs/>
              </w:rPr>
              <w:t xml:space="preserve">вътрешен и външен </w:t>
            </w:r>
            <w:r w:rsidR="00366742" w:rsidRPr="006C06AF">
              <w:rPr>
                <w:bCs/>
              </w:rPr>
              <w:t>персонал</w:t>
            </w:r>
            <w:r w:rsidRPr="006C06AF">
              <w:rPr>
                <w:rFonts w:eastAsia="SimSun"/>
                <w:lang w:eastAsia="bg-BG"/>
              </w:rPr>
              <w:t>) следва да са в съответствие с обичайната политика и практика установена за определяне на възнаграждения на бенефициента и/или партньора му и не трябва да надвишава размера на обичайните  възнаграждения на</w:t>
            </w:r>
            <w:r w:rsidRPr="00862B1C">
              <w:rPr>
                <w:rFonts w:eastAsia="SimSun"/>
                <w:b/>
                <w:lang w:eastAsia="bg-BG"/>
              </w:rPr>
              <w:t xml:space="preserve"> </w:t>
            </w:r>
            <w:r w:rsidRPr="006C06AF">
              <w:rPr>
                <w:rFonts w:eastAsia="SimSun"/>
                <w:lang w:eastAsia="bg-BG"/>
              </w:rPr>
              <w:t>служителите в о</w:t>
            </w:r>
            <w:r w:rsidR="00E362DF">
              <w:rPr>
                <w:rFonts w:eastAsia="SimSun"/>
                <w:lang w:eastAsia="bg-BG"/>
              </w:rPr>
              <w:t>рганизацията за сходни дейности, като в Насоките за кандидатстване ще бъдат определени методите, които следва да бъдат приложени за определяне на размера на допустимите възнаграждения по тази процедура.</w:t>
            </w:r>
          </w:p>
          <w:p w14:paraId="79F1E1AB" w14:textId="77777777" w:rsidR="00D17810" w:rsidRPr="006C06AF" w:rsidRDefault="00D17810" w:rsidP="00D17810">
            <w:pPr>
              <w:autoSpaceDE w:val="0"/>
              <w:autoSpaceDN w:val="0"/>
              <w:adjustRightInd w:val="0"/>
              <w:jc w:val="both"/>
              <w:rPr>
                <w:rFonts w:eastAsia="SimSun"/>
                <w:lang w:eastAsia="bg-BG"/>
              </w:rPr>
            </w:pPr>
          </w:p>
          <w:p w14:paraId="4F6B614B" w14:textId="1C8E0976" w:rsidR="00D17810" w:rsidRPr="006C06AF" w:rsidRDefault="00D17810" w:rsidP="00D17810">
            <w:pPr>
              <w:autoSpaceDE w:val="0"/>
              <w:autoSpaceDN w:val="0"/>
              <w:adjustRightInd w:val="0"/>
              <w:jc w:val="both"/>
              <w:rPr>
                <w:rFonts w:eastAsia="SimSun"/>
                <w:iCs/>
                <w:lang w:eastAsia="bg-BG"/>
              </w:rPr>
            </w:pPr>
            <w:r w:rsidRPr="006C06AF">
              <w:rPr>
                <w:rFonts w:eastAsia="SimSun"/>
                <w:bCs/>
                <w:iCs/>
                <w:lang w:eastAsia="bg-BG"/>
              </w:rPr>
              <w:t xml:space="preserve">Важно! </w:t>
            </w:r>
          </w:p>
          <w:p w14:paraId="658063F8" w14:textId="71B0A066" w:rsidR="00D17810" w:rsidRPr="006C06AF" w:rsidRDefault="00D17810" w:rsidP="00D17810">
            <w:pPr>
              <w:autoSpaceDE w:val="0"/>
              <w:autoSpaceDN w:val="0"/>
              <w:adjustRightInd w:val="0"/>
              <w:jc w:val="both"/>
              <w:rPr>
                <w:rFonts w:eastAsia="SimSun"/>
                <w:iCs/>
                <w:lang w:eastAsia="bg-BG"/>
              </w:rPr>
            </w:pPr>
            <w:r w:rsidRPr="006C06AF">
              <w:rPr>
                <w:rFonts w:eastAsia="SimSun"/>
                <w:iCs/>
                <w:lang w:eastAsia="bg-BG"/>
              </w:rPr>
              <w:t>За всички други допустими разходи се използва единна ставка в</w:t>
            </w:r>
            <w:r w:rsidRPr="006C06AF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Pr="006C06AF">
              <w:rPr>
                <w:color w:val="000000"/>
                <w:shd w:val="clear" w:color="auto" w:fill="FFFFFF"/>
              </w:rPr>
              <w:t xml:space="preserve">размер на </w:t>
            </w:r>
            <w:r w:rsidR="00862B1C" w:rsidRPr="006C06AF">
              <w:rPr>
                <w:color w:val="000000"/>
                <w:u w:val="single"/>
                <w:shd w:val="clear" w:color="auto" w:fill="FFFFFF"/>
              </w:rPr>
              <w:t xml:space="preserve">до </w:t>
            </w:r>
            <w:r w:rsidRPr="006C06AF">
              <w:rPr>
                <w:color w:val="000000"/>
                <w:u w:val="single"/>
                <w:shd w:val="clear" w:color="auto" w:fill="FFFFFF"/>
              </w:rPr>
              <w:t>40 %</w:t>
            </w:r>
            <w:r w:rsidRPr="006C06AF">
              <w:rPr>
                <w:color w:val="000000"/>
                <w:shd w:val="clear" w:color="auto" w:fill="FFFFFF"/>
              </w:rPr>
              <w:t xml:space="preserve"> от допустимите преки разходи за персонал.  </w:t>
            </w:r>
          </w:p>
          <w:p w14:paraId="09880640" w14:textId="77777777" w:rsidR="00D17810" w:rsidRPr="00A1529C" w:rsidRDefault="00D17810" w:rsidP="00D17810">
            <w:pPr>
              <w:autoSpaceDE w:val="0"/>
              <w:autoSpaceDN w:val="0"/>
              <w:adjustRightInd w:val="0"/>
              <w:jc w:val="both"/>
              <w:rPr>
                <w:rFonts w:eastAsia="SimSun"/>
                <w:b/>
                <w:bCs/>
                <w:lang w:eastAsia="bg-BG"/>
              </w:rPr>
            </w:pPr>
          </w:p>
          <w:p w14:paraId="426480F8" w14:textId="20066B5B" w:rsidR="00D17810" w:rsidRPr="00A1529C" w:rsidRDefault="00D17810" w:rsidP="00D17810">
            <w:pPr>
              <w:autoSpaceDE w:val="0"/>
              <w:autoSpaceDN w:val="0"/>
              <w:adjustRightInd w:val="0"/>
              <w:jc w:val="both"/>
              <w:rPr>
                <w:rFonts w:eastAsia="SimSun"/>
                <w:bCs/>
                <w:lang w:eastAsia="bg-BG"/>
              </w:rPr>
            </w:pPr>
            <w:r w:rsidRPr="00A1529C">
              <w:rPr>
                <w:rFonts w:eastAsia="SimSun"/>
                <w:bCs/>
                <w:lang w:eastAsia="bg-BG"/>
              </w:rPr>
              <w:t>Други допустими разходи (</w:t>
            </w:r>
            <w:r w:rsidR="00862B1C">
              <w:rPr>
                <w:rFonts w:eastAsia="SimSun"/>
                <w:bCs/>
                <w:lang w:eastAsia="bg-BG"/>
              </w:rPr>
              <w:t xml:space="preserve">до </w:t>
            </w:r>
            <w:r w:rsidRPr="00A1529C">
              <w:rPr>
                <w:rFonts w:eastAsia="SimSun"/>
                <w:bCs/>
                <w:lang w:eastAsia="bg-BG"/>
              </w:rPr>
              <w:t>40 % от допустимите преки разходи за персонал):</w:t>
            </w:r>
          </w:p>
          <w:p w14:paraId="24B47B05" w14:textId="77777777" w:rsidR="00D17810" w:rsidRPr="00A1529C" w:rsidRDefault="00D17810" w:rsidP="00D1781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00" w:hanging="275"/>
              <w:jc w:val="both"/>
              <w:rPr>
                <w:bCs/>
              </w:rPr>
            </w:pPr>
            <w:r w:rsidRPr="00A1529C">
              <w:rPr>
                <w:bCs/>
              </w:rPr>
              <w:t>Разходи, свързани с организиране и/или провеждане на обучения, публични обсъждания със заинтересованите страни, конференции, работни срещи, информационни кампании и др.;</w:t>
            </w:r>
          </w:p>
          <w:p w14:paraId="3AE028E3" w14:textId="77777777" w:rsidR="00D17810" w:rsidRPr="00A1529C" w:rsidRDefault="00D17810" w:rsidP="00D1781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00" w:hanging="275"/>
              <w:jc w:val="both"/>
              <w:rPr>
                <w:rFonts w:eastAsia="SimSun"/>
                <w:b/>
                <w:bCs/>
                <w:lang w:eastAsia="bg-BG"/>
              </w:rPr>
            </w:pPr>
            <w:r w:rsidRPr="00A1529C">
              <w:rPr>
                <w:bCs/>
              </w:rPr>
              <w:t xml:space="preserve">Разходи за външни услуги, във връзка с изпълнението на основните дейности; </w:t>
            </w:r>
          </w:p>
          <w:p w14:paraId="448D5D8A" w14:textId="77777777" w:rsidR="00D17810" w:rsidRPr="00A1529C" w:rsidRDefault="00D17810" w:rsidP="00D1781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00" w:hanging="275"/>
              <w:jc w:val="both"/>
              <w:rPr>
                <w:rFonts w:eastAsia="SimSun"/>
                <w:b/>
                <w:bCs/>
                <w:lang w:eastAsia="bg-BG"/>
              </w:rPr>
            </w:pPr>
            <w:r w:rsidRPr="00A1529C">
              <w:rPr>
                <w:bCs/>
              </w:rPr>
              <w:t>Разходи за командировки;</w:t>
            </w:r>
          </w:p>
          <w:p w14:paraId="7E4A3F23" w14:textId="77777777" w:rsidR="00D17810" w:rsidRPr="00A1529C" w:rsidRDefault="00D17810" w:rsidP="00D1781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00" w:hanging="275"/>
              <w:jc w:val="both"/>
              <w:rPr>
                <w:rFonts w:eastAsia="SimSun"/>
                <w:b/>
                <w:bCs/>
                <w:lang w:eastAsia="bg-BG"/>
              </w:rPr>
            </w:pPr>
            <w:r w:rsidRPr="00A1529C">
              <w:rPr>
                <w:bCs/>
              </w:rPr>
              <w:t>Разходи за материали;</w:t>
            </w:r>
          </w:p>
          <w:p w14:paraId="016510EA" w14:textId="77777777" w:rsidR="00D17810" w:rsidRPr="00A1529C" w:rsidRDefault="00D17810" w:rsidP="00D1781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00" w:hanging="275"/>
              <w:jc w:val="both"/>
              <w:rPr>
                <w:rFonts w:eastAsia="SimSun"/>
                <w:bCs/>
                <w:lang w:eastAsia="bg-BG"/>
              </w:rPr>
            </w:pPr>
            <w:r w:rsidRPr="00A1529C">
              <w:rPr>
                <w:rFonts w:eastAsia="SimSun"/>
                <w:bCs/>
                <w:lang w:eastAsia="bg-BG"/>
              </w:rPr>
              <w:t xml:space="preserve">Непреки разходи, вкл. разходи за организация и управление и </w:t>
            </w:r>
            <w:r>
              <w:rPr>
                <w:rFonts w:eastAsia="SimSun"/>
                <w:bCs/>
                <w:lang w:eastAsia="bg-BG"/>
              </w:rPr>
              <w:t xml:space="preserve">за </w:t>
            </w:r>
            <w:r w:rsidRPr="00A1529C">
              <w:rPr>
                <w:rFonts w:eastAsia="SimSun"/>
                <w:bCs/>
                <w:lang w:eastAsia="bg-BG"/>
              </w:rPr>
              <w:t>информация и комуникация</w:t>
            </w:r>
            <w:r>
              <w:rPr>
                <w:rFonts w:eastAsia="SimSun"/>
                <w:bCs/>
                <w:lang w:eastAsia="bg-BG"/>
              </w:rPr>
              <w:t xml:space="preserve"> </w:t>
            </w:r>
          </w:p>
          <w:p w14:paraId="22E88348" w14:textId="58C73781" w:rsidR="00E47080" w:rsidRDefault="00D17810" w:rsidP="00EB4AF9">
            <w:pPr>
              <w:autoSpaceDE w:val="0"/>
              <w:autoSpaceDN w:val="0"/>
              <w:adjustRightInd w:val="0"/>
              <w:spacing w:after="120"/>
              <w:ind w:left="-6"/>
              <w:jc w:val="both"/>
              <w:rPr>
                <w:rFonts w:eastAsia="SimSun"/>
                <w:lang w:eastAsia="bg-BG"/>
              </w:rPr>
            </w:pPr>
            <w:r w:rsidRPr="00564B53">
              <w:rPr>
                <w:rFonts w:eastAsia="SimSun"/>
                <w:bCs/>
                <w:lang w:eastAsia="bg-BG"/>
              </w:rPr>
              <w:t>Непреки разходи са разходите, които са свързани с проекта, но не могат да бъдат пряко свързани с отделна дейност по проекта и не допринасят пряко за постигането на неговите цели и резултати, но са необходими за неговото цялостно администриране, управление, оценка и добро финансово изпълнение.</w:t>
            </w:r>
            <w:r w:rsidRPr="00564B53">
              <w:rPr>
                <w:rFonts w:eastAsia="SimSun"/>
                <w:lang w:eastAsia="bg-BG"/>
              </w:rPr>
              <w:t xml:space="preserve"> (типични административни разходи като: разходи за организация и управление, разходи за телефон, електроенергия и др.)</w:t>
            </w:r>
            <w:r w:rsidR="00A4155E" w:rsidRPr="00564B53">
              <w:rPr>
                <w:rFonts w:eastAsia="SimSun"/>
                <w:lang w:eastAsia="bg-BG"/>
              </w:rPr>
              <w:t>.</w:t>
            </w:r>
          </w:p>
          <w:p w14:paraId="1D468367" w14:textId="4D013467" w:rsidR="0065758E" w:rsidRDefault="0065758E" w:rsidP="0065758E">
            <w:pPr>
              <w:autoSpaceDE w:val="0"/>
              <w:autoSpaceDN w:val="0"/>
              <w:adjustRightInd w:val="0"/>
              <w:spacing w:after="120"/>
              <w:ind w:left="-6"/>
              <w:jc w:val="both"/>
            </w:pPr>
            <w:r w:rsidRPr="00564B53">
              <w:lastRenderedPageBreak/>
              <w:t xml:space="preserve">По настоящата процедура ще се прилагат правилата за минимална помощ (правилото </w:t>
            </w:r>
            <w:proofErr w:type="spellStart"/>
            <w:r w:rsidRPr="00564B53">
              <w:t>de</w:t>
            </w:r>
            <w:proofErr w:type="spellEnd"/>
            <w:r w:rsidRPr="00564B53">
              <w:t xml:space="preserve"> </w:t>
            </w:r>
            <w:proofErr w:type="spellStart"/>
            <w:r w:rsidRPr="00564B53">
              <w:t>minimis</w:t>
            </w:r>
            <w:proofErr w:type="spellEnd"/>
            <w:r w:rsidRPr="00564B53">
              <w:t>) по смисъла на Регламент (ЕО) 1407/2013 на Комисията от 18 декември 2013 г.</w:t>
            </w:r>
            <w:r w:rsidRPr="00564B53">
              <w:rPr>
                <w:rStyle w:val="FootnoteReference"/>
              </w:rPr>
              <w:footnoteReference w:id="5"/>
            </w:r>
          </w:p>
        </w:tc>
      </w:tr>
      <w:tr w:rsidR="00D17810" w14:paraId="74366C31" w14:textId="77777777" w:rsidTr="00D17810">
        <w:tc>
          <w:tcPr>
            <w:tcW w:w="562" w:type="dxa"/>
          </w:tcPr>
          <w:p w14:paraId="6BAC6AA9" w14:textId="77777777" w:rsidR="00D17810" w:rsidRDefault="00D17810">
            <w:r>
              <w:lastRenderedPageBreak/>
              <w:t>8.</w:t>
            </w:r>
          </w:p>
        </w:tc>
        <w:tc>
          <w:tcPr>
            <w:tcW w:w="3442" w:type="dxa"/>
          </w:tcPr>
          <w:p w14:paraId="5084CFF0" w14:textId="77777777" w:rsidR="00D17810" w:rsidRPr="00A1529C" w:rsidRDefault="00D17810" w:rsidP="00D17810">
            <w:pPr>
              <w:jc w:val="both"/>
              <w:rPr>
                <w:b/>
                <w:bCs/>
                <w:lang w:eastAsia="fr-FR"/>
              </w:rPr>
            </w:pPr>
            <w:r w:rsidRPr="00A1529C">
              <w:rPr>
                <w:b/>
                <w:bCs/>
                <w:lang w:eastAsia="fr-FR"/>
              </w:rPr>
              <w:t>Минимален размер на помощта (в лева) по отделните проекти</w:t>
            </w:r>
          </w:p>
        </w:tc>
        <w:tc>
          <w:tcPr>
            <w:tcW w:w="5058" w:type="dxa"/>
            <w:vAlign w:val="center"/>
          </w:tcPr>
          <w:p w14:paraId="122A1A0F" w14:textId="77777777" w:rsidR="00D17810" w:rsidRPr="00A1529C" w:rsidRDefault="00D17810" w:rsidP="00D17810">
            <w:pPr>
              <w:pStyle w:val="ListParagraph"/>
              <w:ind w:left="0"/>
              <w:jc w:val="center"/>
              <w:rPr>
                <w:b/>
                <w:bCs/>
                <w:szCs w:val="24"/>
                <w:lang w:eastAsia="en-GB"/>
              </w:rPr>
            </w:pPr>
            <w:r>
              <w:rPr>
                <w:b/>
                <w:bCs/>
                <w:szCs w:val="24"/>
                <w:lang w:eastAsia="en-GB"/>
              </w:rPr>
              <w:t>30 000</w:t>
            </w:r>
          </w:p>
        </w:tc>
      </w:tr>
      <w:tr w:rsidR="00D17810" w14:paraId="20B01405" w14:textId="77777777" w:rsidTr="00D17810">
        <w:tc>
          <w:tcPr>
            <w:tcW w:w="562" w:type="dxa"/>
          </w:tcPr>
          <w:p w14:paraId="66E17D39" w14:textId="77777777" w:rsidR="00D17810" w:rsidRDefault="00D17810">
            <w:r>
              <w:t>9.</w:t>
            </w:r>
          </w:p>
        </w:tc>
        <w:tc>
          <w:tcPr>
            <w:tcW w:w="3442" w:type="dxa"/>
          </w:tcPr>
          <w:p w14:paraId="738DE36C" w14:textId="77777777" w:rsidR="00D17810" w:rsidRPr="00A1529C" w:rsidRDefault="00D17810">
            <w:pPr>
              <w:rPr>
                <w:b/>
                <w:bCs/>
                <w:lang w:eastAsia="fr-FR"/>
              </w:rPr>
            </w:pPr>
            <w:r w:rsidRPr="00A1529C">
              <w:rPr>
                <w:b/>
                <w:bCs/>
                <w:lang w:eastAsia="fr-FR"/>
              </w:rPr>
              <w:t>Максимален размер на помощта (в лева) по отделните проекти</w:t>
            </w:r>
          </w:p>
        </w:tc>
        <w:tc>
          <w:tcPr>
            <w:tcW w:w="5058" w:type="dxa"/>
            <w:vAlign w:val="center"/>
          </w:tcPr>
          <w:p w14:paraId="255A9FC5" w14:textId="77777777" w:rsidR="00D17810" w:rsidRPr="00A1529C" w:rsidRDefault="00D17810" w:rsidP="00D17810">
            <w:pPr>
              <w:pStyle w:val="ListParagraph"/>
              <w:ind w:left="0"/>
              <w:jc w:val="center"/>
              <w:rPr>
                <w:b/>
                <w:bCs/>
                <w:szCs w:val="24"/>
                <w:lang w:eastAsia="en-GB"/>
              </w:rPr>
            </w:pPr>
            <w:r>
              <w:rPr>
                <w:b/>
                <w:bCs/>
                <w:szCs w:val="24"/>
                <w:lang w:eastAsia="en-GB"/>
              </w:rPr>
              <w:t>100 000</w:t>
            </w:r>
          </w:p>
        </w:tc>
      </w:tr>
      <w:tr w:rsidR="00D17810" w14:paraId="7656B6C1" w14:textId="77777777" w:rsidTr="00D17810">
        <w:tc>
          <w:tcPr>
            <w:tcW w:w="562" w:type="dxa"/>
          </w:tcPr>
          <w:p w14:paraId="1DFCDA49" w14:textId="77777777" w:rsidR="00D17810" w:rsidRDefault="00D17810">
            <w:r>
              <w:t>10.</w:t>
            </w:r>
          </w:p>
        </w:tc>
        <w:tc>
          <w:tcPr>
            <w:tcW w:w="3442" w:type="dxa"/>
          </w:tcPr>
          <w:p w14:paraId="084EED87" w14:textId="288D87F4" w:rsidR="00D17810" w:rsidRPr="00A1529C" w:rsidRDefault="00D17810" w:rsidP="0017251B">
            <w:pPr>
              <w:jc w:val="both"/>
              <w:rPr>
                <w:b/>
                <w:bCs/>
                <w:lang w:eastAsia="fr-FR"/>
              </w:rPr>
            </w:pPr>
            <w:r w:rsidRPr="00A1529C">
              <w:rPr>
                <w:b/>
                <w:bCs/>
                <w:lang w:eastAsia="fr-FR"/>
              </w:rPr>
              <w:t xml:space="preserve">Съфинансиране от страна на бенефициента </w:t>
            </w:r>
          </w:p>
        </w:tc>
        <w:tc>
          <w:tcPr>
            <w:tcW w:w="5058" w:type="dxa"/>
            <w:vAlign w:val="center"/>
          </w:tcPr>
          <w:p w14:paraId="56FB00B3" w14:textId="0ACB7196" w:rsidR="00D17810" w:rsidRPr="00A1529C" w:rsidRDefault="00D17810" w:rsidP="0017251B">
            <w:pPr>
              <w:pStyle w:val="ListParagraph"/>
              <w:ind w:left="0"/>
              <w:jc w:val="center"/>
              <w:rPr>
                <w:b/>
                <w:bCs/>
                <w:szCs w:val="24"/>
                <w:lang w:eastAsia="en-GB"/>
              </w:rPr>
            </w:pPr>
            <w:r w:rsidRPr="00A1529C">
              <w:rPr>
                <w:bCs/>
              </w:rPr>
              <w:t xml:space="preserve">Не </w:t>
            </w:r>
            <w:r w:rsidR="0017251B">
              <w:rPr>
                <w:bCs/>
              </w:rPr>
              <w:t>с</w:t>
            </w:r>
            <w:r w:rsidRPr="00A1529C">
              <w:rPr>
                <w:bCs/>
              </w:rPr>
              <w:t xml:space="preserve">е </w:t>
            </w:r>
            <w:r w:rsidR="0017251B">
              <w:rPr>
                <w:bCs/>
              </w:rPr>
              <w:t>изисква по тази процедура.</w:t>
            </w:r>
          </w:p>
        </w:tc>
      </w:tr>
      <w:tr w:rsidR="00D17810" w14:paraId="390A90A0" w14:textId="77777777" w:rsidTr="00D17810">
        <w:tc>
          <w:tcPr>
            <w:tcW w:w="562" w:type="dxa"/>
          </w:tcPr>
          <w:p w14:paraId="77AE013F" w14:textId="77777777" w:rsidR="00D17810" w:rsidRDefault="00D17810">
            <w:r>
              <w:t>11.</w:t>
            </w:r>
          </w:p>
        </w:tc>
        <w:tc>
          <w:tcPr>
            <w:tcW w:w="3442" w:type="dxa"/>
          </w:tcPr>
          <w:p w14:paraId="6972C6E5" w14:textId="77FACC43" w:rsidR="00D17810" w:rsidRPr="00A1529C" w:rsidRDefault="00D17810" w:rsidP="00D17810">
            <w:pPr>
              <w:pStyle w:val="Style"/>
              <w:ind w:left="0" w:right="0" w:firstLine="0"/>
              <w:rPr>
                <w:b/>
                <w:bCs/>
                <w:lang w:eastAsia="fr-FR"/>
              </w:rPr>
            </w:pPr>
            <w:r w:rsidRPr="00A1529C">
              <w:rPr>
                <w:b/>
                <w:bCs/>
                <w:lang w:eastAsia="fr-FR"/>
              </w:rPr>
              <w:t>Процент на подкрепата по правилата на ЕФРР съгл. чл. 98 от Регламент (ЕС) № 1303/2013</w:t>
            </w:r>
          </w:p>
          <w:p w14:paraId="73452684" w14:textId="77777777" w:rsidR="00D17810" w:rsidRPr="00A1529C" w:rsidRDefault="00D17810" w:rsidP="00D17810">
            <w:pPr>
              <w:jc w:val="both"/>
              <w:rPr>
                <w:b/>
                <w:bCs/>
                <w:lang w:eastAsia="fr-FR"/>
              </w:rPr>
            </w:pPr>
            <w:r w:rsidRPr="00A1529C">
              <w:rPr>
                <w:b/>
                <w:bCs/>
                <w:lang w:eastAsia="fr-FR"/>
              </w:rPr>
              <w:t>(ако е приложимо)</w:t>
            </w:r>
          </w:p>
        </w:tc>
        <w:tc>
          <w:tcPr>
            <w:tcW w:w="5058" w:type="dxa"/>
            <w:vAlign w:val="center"/>
          </w:tcPr>
          <w:p w14:paraId="3EE3824D" w14:textId="77777777" w:rsidR="00D17810" w:rsidRPr="00A1529C" w:rsidRDefault="00D17810" w:rsidP="00D17810">
            <w:pPr>
              <w:pStyle w:val="ListParagraph"/>
              <w:ind w:left="0"/>
              <w:jc w:val="center"/>
              <w:rPr>
                <w:b/>
                <w:bCs/>
                <w:szCs w:val="24"/>
                <w:lang w:eastAsia="en-GB"/>
              </w:rPr>
            </w:pPr>
            <w:r w:rsidRPr="00A1529C">
              <w:rPr>
                <w:bCs/>
              </w:rPr>
              <w:t>Не е приложимо</w:t>
            </w:r>
          </w:p>
        </w:tc>
      </w:tr>
      <w:tr w:rsidR="00D17810" w14:paraId="0AE9C492" w14:textId="77777777" w:rsidTr="00E47080">
        <w:tc>
          <w:tcPr>
            <w:tcW w:w="562" w:type="dxa"/>
          </w:tcPr>
          <w:p w14:paraId="655B1CFE" w14:textId="77777777" w:rsidR="00D17810" w:rsidRDefault="00D17810">
            <w:r>
              <w:t>12.</w:t>
            </w:r>
          </w:p>
        </w:tc>
        <w:tc>
          <w:tcPr>
            <w:tcW w:w="3442" w:type="dxa"/>
          </w:tcPr>
          <w:p w14:paraId="7374386D" w14:textId="6FBC4821" w:rsidR="00D17810" w:rsidRPr="00A1529C" w:rsidRDefault="00D17810" w:rsidP="00E362DF">
            <w:pPr>
              <w:rPr>
                <w:b/>
                <w:bCs/>
                <w:lang w:eastAsia="fr-FR"/>
              </w:rPr>
            </w:pPr>
            <w:r w:rsidRPr="00A1529C">
              <w:rPr>
                <w:b/>
                <w:bCs/>
                <w:lang w:eastAsia="fr-FR"/>
              </w:rPr>
              <w:t xml:space="preserve">Друго </w:t>
            </w:r>
          </w:p>
        </w:tc>
        <w:tc>
          <w:tcPr>
            <w:tcW w:w="5058" w:type="dxa"/>
          </w:tcPr>
          <w:p w14:paraId="559628B4" w14:textId="77777777" w:rsidR="00D17810" w:rsidRDefault="00D17810" w:rsidP="00D17810">
            <w:pPr>
              <w:pStyle w:val="ListParagraph"/>
              <w:ind w:left="0"/>
              <w:jc w:val="both"/>
            </w:pPr>
            <w:r w:rsidRPr="00A1529C">
              <w:t>Обученията на служителите на бенефициентите и/или партньорите, участието на бенефициентите и/или партньорите в мрежи, включително НПО мрежи на европейско равнище са допустими за финансиране дейности по тази процедура, само ако те са допълващи и не са основна цел по проекта</w:t>
            </w:r>
            <w:r w:rsidR="00E10F50">
              <w:t>.</w:t>
            </w:r>
          </w:p>
          <w:p w14:paraId="6111322D" w14:textId="77777777" w:rsidR="006655A2" w:rsidRDefault="006655A2" w:rsidP="00A73FF7">
            <w:pPr>
              <w:pStyle w:val="ListParagraph"/>
              <w:ind w:left="0"/>
              <w:jc w:val="both"/>
              <w:rPr>
                <w:bCs/>
                <w:szCs w:val="24"/>
                <w:lang w:eastAsia="en-GB"/>
              </w:rPr>
            </w:pPr>
          </w:p>
          <w:p w14:paraId="4CA5ACFA" w14:textId="428A407C" w:rsidR="00A73FF7" w:rsidRPr="00A73FF7" w:rsidRDefault="00A73FF7" w:rsidP="00A73FF7">
            <w:pPr>
              <w:pStyle w:val="ListParagraph"/>
              <w:ind w:left="0"/>
              <w:jc w:val="both"/>
              <w:rPr>
                <w:bCs/>
                <w:szCs w:val="24"/>
                <w:lang w:eastAsia="en-GB"/>
              </w:rPr>
            </w:pPr>
            <w:r w:rsidRPr="00A73FF7">
              <w:rPr>
                <w:bCs/>
                <w:szCs w:val="24"/>
                <w:lang w:eastAsia="en-GB"/>
              </w:rPr>
              <w:t>Проектните предложения следва да са в съответствие с хоризонталните политики, залегнали в чл.7 и чл.8 на Регламент (ЕС) № 1303/2013 на Европейския парламент и на Съвет</w:t>
            </w:r>
            <w:r w:rsidR="005738C3">
              <w:rPr>
                <w:bCs/>
                <w:szCs w:val="24"/>
                <w:lang w:eastAsia="en-GB"/>
              </w:rPr>
              <w:t>а</w:t>
            </w:r>
            <w:r w:rsidRPr="00A73FF7">
              <w:rPr>
                <w:bCs/>
                <w:szCs w:val="24"/>
                <w:lang w:eastAsia="en-GB"/>
              </w:rPr>
              <w:t>.</w:t>
            </w:r>
          </w:p>
        </w:tc>
      </w:tr>
      <w:tr w:rsidR="00D17810" w14:paraId="6BBB6D00" w14:textId="77777777" w:rsidTr="00B73BCA">
        <w:tc>
          <w:tcPr>
            <w:tcW w:w="562" w:type="dxa"/>
            <w:shd w:val="clear" w:color="auto" w:fill="2E74B5" w:themeFill="accent1" w:themeFillShade="BF"/>
          </w:tcPr>
          <w:p w14:paraId="4526CF09" w14:textId="77777777" w:rsidR="00D17810" w:rsidRPr="00637EF7" w:rsidRDefault="00D17810">
            <w:pPr>
              <w:rPr>
                <w:b/>
                <w:lang w:val="en-US"/>
              </w:rPr>
            </w:pPr>
            <w:r w:rsidRPr="00637EF7">
              <w:rPr>
                <w:b/>
                <w:lang w:val="en-US"/>
              </w:rPr>
              <w:t xml:space="preserve">III. </w:t>
            </w:r>
          </w:p>
        </w:tc>
        <w:tc>
          <w:tcPr>
            <w:tcW w:w="8500" w:type="dxa"/>
            <w:gridSpan w:val="2"/>
            <w:shd w:val="clear" w:color="auto" w:fill="2E74B5" w:themeFill="accent1" w:themeFillShade="BF"/>
          </w:tcPr>
          <w:p w14:paraId="7CE1565F" w14:textId="77777777" w:rsidR="00D17810" w:rsidRPr="00637EF7" w:rsidRDefault="00D17810" w:rsidP="00D17810">
            <w:pPr>
              <w:pStyle w:val="ListParagraph"/>
              <w:ind w:left="0"/>
              <w:jc w:val="both"/>
              <w:rPr>
                <w:b/>
              </w:rPr>
            </w:pPr>
            <w:r w:rsidRPr="00637EF7">
              <w:rPr>
                <w:b/>
              </w:rPr>
              <w:t>ИНДИКАТОРИ ПО ОПДУ, ОТНОСИМИ КЪМ ПРОЦЕДУРАТА</w:t>
            </w:r>
          </w:p>
        </w:tc>
      </w:tr>
      <w:tr w:rsidR="00B73BCA" w14:paraId="0E6F9478" w14:textId="77777777" w:rsidTr="00B73BCA">
        <w:tc>
          <w:tcPr>
            <w:tcW w:w="562" w:type="dxa"/>
            <w:vMerge w:val="restart"/>
            <w:vAlign w:val="center"/>
          </w:tcPr>
          <w:p w14:paraId="105187D2" w14:textId="77777777" w:rsidR="00B73BCA" w:rsidRPr="00B73BCA" w:rsidRDefault="00B73BCA">
            <w:pPr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3442" w:type="dxa"/>
            <w:vMerge w:val="restart"/>
            <w:vAlign w:val="center"/>
          </w:tcPr>
          <w:p w14:paraId="22D44FA5" w14:textId="77777777" w:rsidR="00B73BCA" w:rsidRPr="00A1529C" w:rsidRDefault="00B73BCA">
            <w:pPr>
              <w:rPr>
                <w:b/>
                <w:bCs/>
                <w:lang w:eastAsia="fr-FR"/>
              </w:rPr>
            </w:pPr>
            <w:r w:rsidRPr="00A1529C">
              <w:rPr>
                <w:b/>
                <w:bCs/>
                <w:lang w:eastAsia="fr-FR"/>
              </w:rPr>
              <w:t>За изпълнение</w:t>
            </w:r>
            <w:r w:rsidRPr="00A1529C">
              <w:rPr>
                <w:rStyle w:val="FootnoteReference"/>
                <w:b/>
                <w:bCs/>
                <w:lang w:eastAsia="fr-FR"/>
              </w:rPr>
              <w:footnoteReference w:id="6"/>
            </w:r>
          </w:p>
        </w:tc>
        <w:tc>
          <w:tcPr>
            <w:tcW w:w="5058" w:type="dxa"/>
          </w:tcPr>
          <w:p w14:paraId="460023F0" w14:textId="77777777" w:rsidR="00B73BCA" w:rsidRPr="00A1529C" w:rsidRDefault="00B73BCA" w:rsidP="00D17810">
            <w:pPr>
              <w:pStyle w:val="ListParagraph"/>
              <w:ind w:left="0"/>
              <w:jc w:val="both"/>
            </w:pPr>
            <w:r w:rsidRPr="00A1529C">
              <w:t>Брой проекти, изцяло или частично изпълнени от социални партньори или неправителствени организации</w:t>
            </w:r>
          </w:p>
        </w:tc>
      </w:tr>
      <w:tr w:rsidR="00B73BCA" w14:paraId="41C8D4AB" w14:textId="77777777" w:rsidTr="00E47080">
        <w:tc>
          <w:tcPr>
            <w:tcW w:w="562" w:type="dxa"/>
            <w:vMerge/>
          </w:tcPr>
          <w:p w14:paraId="699F70BF" w14:textId="77777777" w:rsidR="00B73BCA" w:rsidRDefault="00B73BCA"/>
        </w:tc>
        <w:tc>
          <w:tcPr>
            <w:tcW w:w="3442" w:type="dxa"/>
            <w:vMerge/>
          </w:tcPr>
          <w:p w14:paraId="24B52F39" w14:textId="77777777" w:rsidR="00B73BCA" w:rsidRPr="00A1529C" w:rsidRDefault="00B73BCA">
            <w:pPr>
              <w:rPr>
                <w:b/>
                <w:bCs/>
                <w:lang w:eastAsia="fr-FR"/>
              </w:rPr>
            </w:pPr>
          </w:p>
        </w:tc>
        <w:tc>
          <w:tcPr>
            <w:tcW w:w="5058" w:type="dxa"/>
          </w:tcPr>
          <w:p w14:paraId="55E15D65" w14:textId="77777777" w:rsidR="00B73BCA" w:rsidRPr="00A1529C" w:rsidRDefault="00B73BCA" w:rsidP="00D17810">
            <w:pPr>
              <w:pStyle w:val="ListParagraph"/>
              <w:ind w:left="0"/>
              <w:jc w:val="both"/>
            </w:pPr>
            <w:r w:rsidRPr="00A1529C">
              <w:t>Подкрепени анализи, проучвания, изследвания, методики и оценки, свързани с дейността на съдебната система</w:t>
            </w:r>
          </w:p>
        </w:tc>
      </w:tr>
      <w:tr w:rsidR="00B73BCA" w14:paraId="0CA13B45" w14:textId="77777777" w:rsidTr="00E47080">
        <w:tc>
          <w:tcPr>
            <w:tcW w:w="562" w:type="dxa"/>
            <w:vMerge/>
          </w:tcPr>
          <w:p w14:paraId="509369F4" w14:textId="77777777" w:rsidR="00B73BCA" w:rsidRDefault="00B73BCA"/>
        </w:tc>
        <w:tc>
          <w:tcPr>
            <w:tcW w:w="3442" w:type="dxa"/>
            <w:vMerge/>
          </w:tcPr>
          <w:p w14:paraId="42549A92" w14:textId="77777777" w:rsidR="00B73BCA" w:rsidRPr="00A1529C" w:rsidRDefault="00B73BCA">
            <w:pPr>
              <w:rPr>
                <w:b/>
                <w:bCs/>
                <w:lang w:eastAsia="fr-FR"/>
              </w:rPr>
            </w:pPr>
          </w:p>
        </w:tc>
        <w:tc>
          <w:tcPr>
            <w:tcW w:w="5058" w:type="dxa"/>
          </w:tcPr>
          <w:p w14:paraId="42BAA037" w14:textId="77777777" w:rsidR="00B73BCA" w:rsidRPr="00A1529C" w:rsidRDefault="00B73BCA" w:rsidP="00D17810">
            <w:pPr>
              <w:pStyle w:val="ListParagraph"/>
              <w:ind w:left="0"/>
              <w:jc w:val="both"/>
            </w:pPr>
            <w:r w:rsidRPr="00A1529C">
              <w:t>Проекти за насърчаване и развитие на алтернативни методи за решаване на правни спорове</w:t>
            </w:r>
          </w:p>
        </w:tc>
      </w:tr>
      <w:tr w:rsidR="00B73BCA" w14:paraId="118F121F" w14:textId="77777777" w:rsidTr="00E47080">
        <w:tc>
          <w:tcPr>
            <w:tcW w:w="562" w:type="dxa"/>
          </w:tcPr>
          <w:p w14:paraId="206B7F04" w14:textId="77777777" w:rsidR="00B73BCA" w:rsidRPr="00B73BCA" w:rsidRDefault="00B73BCA">
            <w:pPr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3442" w:type="dxa"/>
          </w:tcPr>
          <w:p w14:paraId="56F471BA" w14:textId="77777777" w:rsidR="00B73BCA" w:rsidRPr="00A1529C" w:rsidRDefault="00B73BCA">
            <w:pPr>
              <w:rPr>
                <w:b/>
                <w:bCs/>
                <w:lang w:eastAsia="fr-FR"/>
              </w:rPr>
            </w:pPr>
            <w:r w:rsidRPr="00A1529C">
              <w:rPr>
                <w:b/>
                <w:bCs/>
                <w:lang w:eastAsia="fr-FR"/>
              </w:rPr>
              <w:t>За резултат</w:t>
            </w:r>
          </w:p>
        </w:tc>
        <w:tc>
          <w:tcPr>
            <w:tcW w:w="5058" w:type="dxa"/>
          </w:tcPr>
          <w:p w14:paraId="7ABBCC07" w14:textId="77777777" w:rsidR="00B73BCA" w:rsidRPr="00A1529C" w:rsidRDefault="00B73BCA" w:rsidP="00D17810">
            <w:pPr>
              <w:pStyle w:val="ListParagraph"/>
              <w:ind w:left="0"/>
              <w:jc w:val="both"/>
            </w:pPr>
            <w:r w:rsidRPr="00A1529C">
              <w:t>Въведени нови и усъвършенстване на съществуващи инструменти за модернизация на съдебната власт</w:t>
            </w:r>
          </w:p>
        </w:tc>
      </w:tr>
      <w:tr w:rsidR="0065758E" w14:paraId="2087AA66" w14:textId="77777777" w:rsidTr="0065758E">
        <w:tc>
          <w:tcPr>
            <w:tcW w:w="562" w:type="dxa"/>
            <w:shd w:val="clear" w:color="auto" w:fill="2E74B5" w:themeFill="accent1" w:themeFillShade="BF"/>
          </w:tcPr>
          <w:p w14:paraId="38B6E031" w14:textId="459092E1" w:rsidR="0065758E" w:rsidRPr="00637EF7" w:rsidRDefault="0065758E">
            <w:pPr>
              <w:rPr>
                <w:b/>
                <w:lang w:val="en-US"/>
              </w:rPr>
            </w:pPr>
            <w:r w:rsidRPr="00637EF7">
              <w:rPr>
                <w:b/>
                <w:lang w:val="en-US"/>
              </w:rPr>
              <w:t>IV.</w:t>
            </w:r>
          </w:p>
        </w:tc>
        <w:tc>
          <w:tcPr>
            <w:tcW w:w="8500" w:type="dxa"/>
            <w:gridSpan w:val="2"/>
            <w:shd w:val="clear" w:color="auto" w:fill="2E74B5" w:themeFill="accent1" w:themeFillShade="BF"/>
          </w:tcPr>
          <w:p w14:paraId="197B0BFD" w14:textId="10D3C14D" w:rsidR="0065758E" w:rsidRPr="00637EF7" w:rsidRDefault="0065758E" w:rsidP="00D17810">
            <w:pPr>
              <w:pStyle w:val="ListParagraph"/>
              <w:ind w:left="0"/>
              <w:jc w:val="both"/>
              <w:rPr>
                <w:b/>
              </w:rPr>
            </w:pPr>
            <w:r w:rsidRPr="00637EF7">
              <w:rPr>
                <w:b/>
              </w:rPr>
              <w:t>ОБОСНОВКА НА НЕОБХОДИМОСТТА ОТ ПРОЦЕДУРАТА</w:t>
            </w:r>
            <w:r w:rsidRPr="00637EF7">
              <w:rPr>
                <w:rStyle w:val="FootnoteReference"/>
                <w:b/>
              </w:rPr>
              <w:footnoteReference w:id="7"/>
            </w:r>
          </w:p>
        </w:tc>
      </w:tr>
      <w:tr w:rsidR="0065758E" w14:paraId="1C542287" w14:textId="77777777" w:rsidTr="00B131FA">
        <w:trPr>
          <w:trHeight w:val="848"/>
        </w:trPr>
        <w:tc>
          <w:tcPr>
            <w:tcW w:w="9062" w:type="dxa"/>
            <w:gridSpan w:val="3"/>
            <w:vAlign w:val="center"/>
          </w:tcPr>
          <w:p w14:paraId="0A7DC39C" w14:textId="61A202C4" w:rsidR="0065758E" w:rsidRPr="006655A2" w:rsidRDefault="0065758E" w:rsidP="00637EF7">
            <w:pPr>
              <w:pStyle w:val="ListParagraph"/>
              <w:ind w:left="0"/>
              <w:jc w:val="both"/>
            </w:pPr>
            <w:r w:rsidRPr="006655A2">
              <w:rPr>
                <w:szCs w:val="24"/>
              </w:rPr>
              <w:t xml:space="preserve">Тази процедура допълва процедури „Стратегически проекти в изпълнение на Актуализирана стратегия за продължаване на реформата в съдебната система и стратегията за въвеждане на електронно управление и електронно правосъдие в сектор „Правосъдие” 2014-2020 г.“ и „Повишаване на компетентността на магистратите и съдебните служители чрез ефективно обучение в Националния институт на правосъдието“, от ИГРП 2015 г. </w:t>
            </w:r>
            <w:r w:rsidRPr="006655A2">
              <w:t xml:space="preserve">Процедурата допълва и надгражда мерки, включени в </w:t>
            </w:r>
            <w:r w:rsidRPr="006655A2">
              <w:rPr>
                <w:bCs/>
                <w:lang w:eastAsia="bg-BG"/>
              </w:rPr>
              <w:t xml:space="preserve"> одобрените пътни карти към Актуализираната стратегия за продължаване на реформата в съдебната система, и Стратегията за въвеждане на електронно управление и електронно правосъдие в сектор „Правосъдие“ 2014- 2020 г. </w:t>
            </w:r>
            <w:r w:rsidRPr="006655A2">
              <w:rPr>
                <w:szCs w:val="24"/>
              </w:rPr>
              <w:t xml:space="preserve">Чрез нея ОПДУ ще финансира интервенции пряко насочени към: </w:t>
            </w:r>
            <w:r w:rsidR="00637EF7" w:rsidRPr="006655A2">
              <w:rPr>
                <w:bCs/>
              </w:rPr>
              <w:t>по-активно включване на неправителствените и професионални организации в процеса на</w:t>
            </w:r>
            <w:r w:rsidR="00637EF7" w:rsidRPr="006655A2">
              <w:rPr>
                <w:bCs/>
                <w:lang w:val="ru-RU"/>
              </w:rPr>
              <w:t xml:space="preserve"> </w:t>
            </w:r>
            <w:r w:rsidR="00637EF7" w:rsidRPr="006655A2">
              <w:rPr>
                <w:bCs/>
              </w:rPr>
              <w:t>разработването, наблюдението и оценката на стратегиите за реформи, отправяне на предложения за подобрения в съдебната система, н</w:t>
            </w:r>
            <w:r w:rsidR="00637EF7" w:rsidRPr="006655A2">
              <w:t>асърчаване и развитие на алтернативни методи за решаване на правни спорове</w:t>
            </w:r>
            <w:r w:rsidRPr="006655A2">
              <w:rPr>
                <w:szCs w:val="24"/>
              </w:rPr>
              <w:t xml:space="preserve">; повишаване на доверието към съдебната власт чрез обществено участие и прозрачност. </w:t>
            </w:r>
          </w:p>
          <w:p w14:paraId="15C5F2CB" w14:textId="77777777" w:rsidR="0065758E" w:rsidRPr="006655A2" w:rsidRDefault="0065758E" w:rsidP="0065758E">
            <w:pPr>
              <w:jc w:val="both"/>
              <w:rPr>
                <w:lang w:eastAsia="bg-BG"/>
              </w:rPr>
            </w:pPr>
            <w:r w:rsidRPr="006655A2">
              <w:rPr>
                <w:lang w:eastAsia="bg-BG"/>
              </w:rPr>
              <w:t>В рамките на Приоритетна ос 3 „Прозрачна и ефективна съдебна система“ са предвидени 5 млн. лева за неправителствени и професионални организации, работещи в областта на правосъдието, за тяхното активно включване в процеса на разработване, наблюдение и оценка на стратегиите за реформи и изготвяне на предложения за подобрения в съдебната система.</w:t>
            </w:r>
          </w:p>
          <w:p w14:paraId="345B625C" w14:textId="77777777" w:rsidR="0065758E" w:rsidRPr="006655A2" w:rsidRDefault="0065758E" w:rsidP="0065758E">
            <w:pPr>
              <w:jc w:val="both"/>
              <w:rPr>
                <w:lang w:eastAsia="bg-BG"/>
              </w:rPr>
            </w:pPr>
            <w:r w:rsidRPr="006655A2">
              <w:rPr>
                <w:lang w:eastAsia="bg-BG"/>
              </w:rPr>
              <w:t>Социологическите допитвания неизменно показват, че българската общественост поставя проблемите на съдебната власт и необходимостта от нейното реформиране като водещ приоритет. Обикновено този факт се разглежда през призмата на недоверието. Същевременно той е ясна индикация за това, че гражданското общество осъзнава необходимостта от реформи. При адекватно информиране на общественото мнение и формиране на политически консенсус около ясна и дългосрочна програма за реформа, тя несъмнено може да разчита на обществена подкрепа. За да реализира този потенциал, ОПДУ ще подкрепи извършване на изследвания на общественото мнение и широко застъпване на дискусиите и формите на повишаване на отчетността и гражданското участие.</w:t>
            </w:r>
          </w:p>
          <w:p w14:paraId="5D583773" w14:textId="78C844FE" w:rsidR="0065758E" w:rsidRPr="00A73FF7" w:rsidRDefault="0065758E" w:rsidP="00A73FF7">
            <w:pPr>
              <w:pStyle w:val="NormalWeb"/>
              <w:jc w:val="both"/>
              <w:rPr>
                <w:color w:val="262626"/>
                <w:sz w:val="24"/>
                <w:szCs w:val="24"/>
              </w:rPr>
            </w:pPr>
            <w:r w:rsidRPr="006655A2">
              <w:rPr>
                <w:sz w:val="24"/>
                <w:szCs w:val="24"/>
              </w:rPr>
              <w:t xml:space="preserve">Процедурата ще подкрепя откритото участие на всички активни в сферата </w:t>
            </w:r>
            <w:r w:rsidRPr="00CD15F1">
              <w:rPr>
                <w:sz w:val="24"/>
                <w:szCs w:val="24"/>
              </w:rPr>
              <w:t>НПО</w:t>
            </w:r>
            <w:r w:rsidRPr="006655A2">
              <w:rPr>
                <w:bCs/>
              </w:rPr>
              <w:t xml:space="preserve"> </w:t>
            </w:r>
            <w:r w:rsidRPr="006655A2">
              <w:rPr>
                <w:sz w:val="24"/>
                <w:szCs w:val="24"/>
              </w:rPr>
              <w:t xml:space="preserve">и професионални организации при разработването, наблюдението и оценката на стратегиите за реформи и предложения за подобрения в съдебната система. Ще бъдат подпомагани проекти на НПО за извършване на независим анализ на провалилите се дела, като се анализират слабостите както в следствието, така и в прокуратурата, в това число защитата на свидетелите, икономическият и финансовият анализ, събирането на доказателства от полицията и сътрудничеството между съдебната и изпълнителната власт. Приоритетни ще бъдат проекти, които въз основа на такъв анализ предлагат пренасяне на добри практики и иновативни решения за премахване на недостатъците </w:t>
            </w:r>
            <w:r w:rsidRPr="006655A2">
              <w:rPr>
                <w:sz w:val="24"/>
                <w:szCs w:val="24"/>
              </w:rPr>
              <w:lastRenderedPageBreak/>
              <w:t>в структурата, управлението, персонала, обученията, сътрудничеството и професионалните практики.</w:t>
            </w:r>
          </w:p>
        </w:tc>
      </w:tr>
    </w:tbl>
    <w:p w14:paraId="45D277A6" w14:textId="77777777" w:rsidR="002E3549" w:rsidRDefault="002E3549" w:rsidP="006655A2"/>
    <w:sectPr w:rsidR="002E35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F62E55" w14:textId="77777777" w:rsidR="00B73BCA" w:rsidRDefault="00B73BCA" w:rsidP="00B73BCA">
      <w:pPr>
        <w:spacing w:after="0" w:line="240" w:lineRule="auto"/>
      </w:pPr>
      <w:r>
        <w:separator/>
      </w:r>
    </w:p>
  </w:endnote>
  <w:endnote w:type="continuationSeparator" w:id="0">
    <w:p w14:paraId="2E1C8549" w14:textId="77777777" w:rsidR="00B73BCA" w:rsidRDefault="00B73BCA" w:rsidP="00B73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69BA7A" w14:textId="77777777" w:rsidR="00B73BCA" w:rsidRDefault="00B73BCA" w:rsidP="00B73BCA">
      <w:pPr>
        <w:spacing w:after="0" w:line="240" w:lineRule="auto"/>
      </w:pPr>
      <w:r>
        <w:separator/>
      </w:r>
    </w:p>
  </w:footnote>
  <w:footnote w:type="continuationSeparator" w:id="0">
    <w:p w14:paraId="5900E86B" w14:textId="77777777" w:rsidR="00B73BCA" w:rsidRDefault="00B73BCA" w:rsidP="00B73BCA">
      <w:pPr>
        <w:spacing w:after="0" w:line="240" w:lineRule="auto"/>
      </w:pPr>
      <w:r>
        <w:continuationSeparator/>
      </w:r>
    </w:p>
  </w:footnote>
  <w:footnote w:id="1">
    <w:p w14:paraId="533AD0FF" w14:textId="43AB09E0" w:rsidR="00C2278E" w:rsidRDefault="00C2278E" w:rsidP="00746A78">
      <w:pPr>
        <w:pStyle w:val="Heading3"/>
        <w:shd w:val="clear" w:color="auto" w:fill="FFFFFF" w:themeFill="background1"/>
        <w:jc w:val="both"/>
      </w:pPr>
      <w:r w:rsidRPr="00746A78">
        <w:rPr>
          <w:rStyle w:val="FootnoteReference"/>
          <w:sz w:val="20"/>
          <w:szCs w:val="20"/>
        </w:rPr>
        <w:footnoteRef/>
      </w:r>
      <w:bookmarkStart w:id="1" w:name="to_paragraph_id30423304"/>
      <w:bookmarkEnd w:id="1"/>
      <w:r w:rsidRPr="00746A78">
        <w:rPr>
          <w:b w:val="0"/>
          <w:sz w:val="20"/>
          <w:szCs w:val="20"/>
          <w:bdr w:val="none" w:sz="0" w:space="0" w:color="auto" w:frame="1"/>
          <w:shd w:val="clear" w:color="auto" w:fill="FFFFFF"/>
        </w:rPr>
        <w:t>З</w:t>
      </w:r>
      <w:r w:rsidRPr="00C2278E">
        <w:rPr>
          <w:b w:val="0"/>
          <w:sz w:val="20"/>
          <w:szCs w:val="20"/>
          <w:bdr w:val="none" w:sz="0" w:space="0" w:color="auto" w:frame="1"/>
          <w:shd w:val="clear" w:color="auto" w:fill="FFFFFF"/>
        </w:rPr>
        <w:t>акон</w:t>
      </w:r>
      <w:r w:rsidRPr="00C2278E">
        <w:rPr>
          <w:b w:val="0"/>
          <w:sz w:val="20"/>
          <w:szCs w:val="20"/>
        </w:rPr>
        <w:t xml:space="preserve"> за </w:t>
      </w:r>
      <w:r w:rsidRPr="00C2278E">
        <w:rPr>
          <w:b w:val="0"/>
          <w:sz w:val="20"/>
          <w:szCs w:val="20"/>
          <w:bdr w:val="none" w:sz="0" w:space="0" w:color="auto" w:frame="1"/>
          <w:shd w:val="clear" w:color="auto" w:fill="FFFFFF"/>
        </w:rPr>
        <w:t>управление</w:t>
      </w:r>
      <w:r w:rsidRPr="00C2278E">
        <w:rPr>
          <w:b w:val="0"/>
          <w:sz w:val="20"/>
          <w:szCs w:val="20"/>
        </w:rPr>
        <w:t xml:space="preserve"> на </w:t>
      </w:r>
      <w:r w:rsidRPr="00C2278E">
        <w:rPr>
          <w:b w:val="0"/>
          <w:sz w:val="20"/>
          <w:szCs w:val="20"/>
          <w:bdr w:val="none" w:sz="0" w:space="0" w:color="auto" w:frame="1"/>
          <w:shd w:val="clear" w:color="auto" w:fill="FFFFFF"/>
        </w:rPr>
        <w:t>средствата</w:t>
      </w:r>
      <w:r w:rsidRPr="00C2278E">
        <w:rPr>
          <w:b w:val="0"/>
          <w:sz w:val="20"/>
          <w:szCs w:val="20"/>
        </w:rPr>
        <w:t xml:space="preserve"> </w:t>
      </w:r>
      <w:r w:rsidRPr="00C2278E">
        <w:rPr>
          <w:b w:val="0"/>
          <w:sz w:val="20"/>
          <w:szCs w:val="20"/>
          <w:bdr w:val="none" w:sz="0" w:space="0" w:color="auto" w:frame="1"/>
          <w:shd w:val="clear" w:color="auto" w:fill="FFFFFF"/>
        </w:rPr>
        <w:t>от</w:t>
      </w:r>
      <w:r w:rsidRPr="00C2278E">
        <w:rPr>
          <w:b w:val="0"/>
          <w:sz w:val="20"/>
          <w:szCs w:val="20"/>
        </w:rPr>
        <w:t xml:space="preserve"> Европейските структурни и инвестиционни фондове</w:t>
      </w:r>
      <w:r w:rsidR="00746A78">
        <w:rPr>
          <w:b w:val="0"/>
          <w:sz w:val="20"/>
          <w:szCs w:val="20"/>
        </w:rPr>
        <w:t>, обн., ДВ, бр. 101 от 22 декември 2015 г.</w:t>
      </w:r>
    </w:p>
  </w:footnote>
  <w:footnote w:id="2">
    <w:p w14:paraId="79676802" w14:textId="36CF2ABC" w:rsidR="006655A2" w:rsidRDefault="006655A2" w:rsidP="006655A2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6B39FE">
        <w:rPr>
          <w:bCs/>
          <w:color w:val="000000"/>
          <w:shd w:val="clear" w:color="auto" w:fill="FEFEFE"/>
        </w:rPr>
        <w:t>Постановление № 162 от 5 юли 2016 г. за определяне на детайлни правила за предоставяне на безвъзмездна финансова помощ по програмите, финансирани от европейските структурни и инвестиционни фондове за периода 2014 - 2020 г.</w:t>
      </w:r>
    </w:p>
  </w:footnote>
  <w:footnote w:id="3">
    <w:p w14:paraId="20043DD3" w14:textId="1E100609" w:rsidR="00637EF7" w:rsidRDefault="00637EF7" w:rsidP="00F919C9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Регламент (ЕС) № 1304/2013 на Европейския парламент и на Съвета от 17 декември 2013 г. относно Европейския социален фонд и за отмяна на Регламент (ЕО) № 1081/2006 на Съвета</w:t>
      </w:r>
    </w:p>
    <w:p w14:paraId="67C436EC" w14:textId="77777777" w:rsidR="00637EF7" w:rsidRDefault="00637EF7">
      <w:pPr>
        <w:pStyle w:val="FootnoteText"/>
      </w:pPr>
    </w:p>
  </w:footnote>
  <w:footnote w:id="4">
    <w:p w14:paraId="12393685" w14:textId="1D659022" w:rsidR="00C2278E" w:rsidRDefault="00C2278E" w:rsidP="00637EF7">
      <w:pPr>
        <w:pStyle w:val="Heading3"/>
        <w:spacing w:before="0" w:after="0" w:afterAutospacing="0"/>
        <w:jc w:val="both"/>
      </w:pPr>
      <w:r w:rsidRPr="00992DC6">
        <w:rPr>
          <w:rStyle w:val="FootnoteReference"/>
          <w:b w:val="0"/>
          <w:bCs w:val="0"/>
          <w:color w:val="auto"/>
          <w:sz w:val="20"/>
          <w:szCs w:val="20"/>
          <w:lang w:eastAsia="en-GB"/>
        </w:rPr>
        <w:footnoteRef/>
      </w:r>
      <w:r w:rsidRPr="00992DC6">
        <w:rPr>
          <w:rStyle w:val="FootnoteReference"/>
          <w:b w:val="0"/>
          <w:bCs w:val="0"/>
          <w:color w:val="auto"/>
          <w:sz w:val="20"/>
          <w:szCs w:val="20"/>
          <w:lang w:eastAsia="en-GB"/>
        </w:rPr>
        <w:t xml:space="preserve"> </w:t>
      </w:r>
      <w:bookmarkStart w:id="2" w:name="to_paragraph_id30420333"/>
      <w:bookmarkEnd w:id="2"/>
      <w:r w:rsidRPr="00C2278E">
        <w:rPr>
          <w:b w:val="0"/>
          <w:sz w:val="20"/>
          <w:szCs w:val="20"/>
          <w:bdr w:val="none" w:sz="0" w:space="0" w:color="auto" w:frame="1"/>
          <w:shd w:val="clear" w:color="auto" w:fill="FFFFFF"/>
        </w:rPr>
        <w:t>Постановление</w:t>
      </w:r>
      <w:r w:rsidRPr="00C2278E">
        <w:rPr>
          <w:b w:val="0"/>
          <w:sz w:val="20"/>
          <w:szCs w:val="20"/>
        </w:rPr>
        <w:t xml:space="preserve"> № </w:t>
      </w:r>
      <w:r w:rsidRPr="00C2278E">
        <w:rPr>
          <w:b w:val="0"/>
          <w:sz w:val="20"/>
          <w:szCs w:val="20"/>
          <w:bdr w:val="none" w:sz="0" w:space="0" w:color="auto" w:frame="1"/>
          <w:shd w:val="clear" w:color="auto" w:fill="FFFFFF"/>
        </w:rPr>
        <w:t>160</w:t>
      </w:r>
      <w:r w:rsidRPr="00C2278E">
        <w:rPr>
          <w:b w:val="0"/>
          <w:sz w:val="20"/>
          <w:szCs w:val="20"/>
        </w:rPr>
        <w:t xml:space="preserve"> от 1.07.2016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</w:t>
      </w:r>
    </w:p>
  </w:footnote>
  <w:footnote w:id="5">
    <w:p w14:paraId="424425B0" w14:textId="77777777" w:rsidR="0065758E" w:rsidRPr="00855DC6" w:rsidRDefault="0065758E" w:rsidP="00637EF7">
      <w:pPr>
        <w:pStyle w:val="Default"/>
        <w:jc w:val="both"/>
        <w:rPr>
          <w:sz w:val="20"/>
          <w:szCs w:val="20"/>
        </w:rPr>
      </w:pPr>
      <w:r>
        <w:rPr>
          <w:rStyle w:val="FootnoteReference"/>
        </w:rPr>
        <w:footnoteRef/>
      </w:r>
      <w:r>
        <w:t xml:space="preserve"> </w:t>
      </w:r>
      <w:r w:rsidRPr="00855DC6">
        <w:rPr>
          <w:sz w:val="20"/>
          <w:szCs w:val="20"/>
        </w:rPr>
        <w:t xml:space="preserve">Относно прилагането на членове 107 и 108 от Договора за функционирането на Европейския съюз (ДФЕС) към помощта </w:t>
      </w:r>
      <w:proofErr w:type="spellStart"/>
      <w:r w:rsidRPr="00855DC6">
        <w:rPr>
          <w:sz w:val="20"/>
          <w:szCs w:val="20"/>
        </w:rPr>
        <w:t>de</w:t>
      </w:r>
      <w:proofErr w:type="spellEnd"/>
      <w:r w:rsidRPr="00855DC6">
        <w:rPr>
          <w:sz w:val="20"/>
          <w:szCs w:val="20"/>
        </w:rPr>
        <w:t xml:space="preserve"> </w:t>
      </w:r>
      <w:proofErr w:type="spellStart"/>
      <w:r w:rsidRPr="00855DC6">
        <w:rPr>
          <w:sz w:val="20"/>
          <w:szCs w:val="20"/>
        </w:rPr>
        <w:t>minimis</w:t>
      </w:r>
      <w:proofErr w:type="spellEnd"/>
      <w:r w:rsidRPr="00855DC6">
        <w:rPr>
          <w:sz w:val="20"/>
          <w:szCs w:val="20"/>
        </w:rPr>
        <w:t xml:space="preserve">, публикуван в Официален вестник на ЕС L 352 от 24.12.2013 г. </w:t>
      </w:r>
    </w:p>
    <w:p w14:paraId="4B66BBB6" w14:textId="77777777" w:rsidR="0065758E" w:rsidRPr="00855DC6" w:rsidRDefault="0065758E" w:rsidP="0065758E">
      <w:pPr>
        <w:pStyle w:val="FootnoteText"/>
        <w:jc w:val="both"/>
      </w:pPr>
    </w:p>
  </w:footnote>
  <w:footnote w:id="6">
    <w:p w14:paraId="0C1E0FDD" w14:textId="416B6C8B" w:rsidR="00803BC6" w:rsidRPr="00803BC6" w:rsidRDefault="00B73BCA" w:rsidP="00803BC6">
      <w:pPr>
        <w:pStyle w:val="FootnoteText"/>
        <w:jc w:val="both"/>
      </w:pPr>
      <w:r>
        <w:rPr>
          <w:rStyle w:val="FootnoteReference"/>
        </w:rPr>
        <w:footnoteRef/>
      </w:r>
      <w:r w:rsidRPr="008A4387">
        <w:rPr>
          <w:lang w:val="ru-RU"/>
        </w:rPr>
        <w:t xml:space="preserve"> </w:t>
      </w:r>
      <w:r>
        <w:t xml:space="preserve">Мерната единица за всички посочени индикатори за </w:t>
      </w:r>
      <w:r w:rsidRPr="00F541C5">
        <w:t>изпълнение е брой</w:t>
      </w:r>
      <w:r w:rsidR="00803BC6">
        <w:t xml:space="preserve">. </w:t>
      </w:r>
      <w:r w:rsidR="00803BC6" w:rsidRPr="00803BC6">
        <w:t xml:space="preserve">С оглед на постигане на целите и изпълнение на индикаторите, заложени в ОПДУ във всяко проектно предложение по тази процедура </w:t>
      </w:r>
      <w:r w:rsidR="0069138D" w:rsidRPr="00803BC6">
        <w:t>следва задължително да бъд</w:t>
      </w:r>
      <w:r w:rsidR="0069138D">
        <w:t>е включен</w:t>
      </w:r>
      <w:r w:rsidR="0069138D" w:rsidRPr="00803BC6">
        <w:t xml:space="preserve"> </w:t>
      </w:r>
      <w:r w:rsidR="00803BC6" w:rsidRPr="00803BC6">
        <w:t>индикатор „Брой проекти, изцяло или частично изпълнени от социални партньори или неправителствени организации“ и минимум един от двата индикатора „Подкрепени анализи, проучвания, изследвания, методики и оценки, свързани с дейността на съдебната система“ и „Проекти за насърчаване и развитие на алтернативни методи за решаване на правни спорове“</w:t>
      </w:r>
      <w:r w:rsidR="00F07346">
        <w:t xml:space="preserve">. </w:t>
      </w:r>
      <w:r w:rsidR="00803BC6" w:rsidRPr="00803BC6">
        <w:t xml:space="preserve"> </w:t>
      </w:r>
      <w:r w:rsidR="00F07346">
        <w:t xml:space="preserve">Кандидатите следва да заложат целеви стойности на </w:t>
      </w:r>
      <w:r w:rsidR="00F07346" w:rsidRPr="00F07346">
        <w:t>задължителните индикатори за изпълнение, положителн</w:t>
      </w:r>
      <w:r w:rsidR="00F07346">
        <w:t>и</w:t>
      </w:r>
      <w:r w:rsidR="00F07346" w:rsidRPr="00F07346">
        <w:t xml:space="preserve"> числ</w:t>
      </w:r>
      <w:r w:rsidR="00F07346">
        <w:t>а</w:t>
      </w:r>
      <w:r w:rsidR="00F07346" w:rsidRPr="00F07346">
        <w:t>, различн</w:t>
      </w:r>
      <w:r w:rsidR="00F07346">
        <w:t>и</w:t>
      </w:r>
      <w:r w:rsidR="00F07346" w:rsidRPr="00F07346">
        <w:t xml:space="preserve"> от „0“.</w:t>
      </w:r>
    </w:p>
    <w:p w14:paraId="6829CE92" w14:textId="77777777" w:rsidR="00B73BCA" w:rsidRPr="00FC12AA" w:rsidRDefault="00B73BCA" w:rsidP="00B73BCA">
      <w:pPr>
        <w:pStyle w:val="FootnoteText"/>
        <w:rPr>
          <w:b/>
        </w:rPr>
      </w:pPr>
    </w:p>
  </w:footnote>
  <w:footnote w:id="7">
    <w:p w14:paraId="26AB64B7" w14:textId="1A357E8E" w:rsidR="0065758E" w:rsidRPr="00A82AE0" w:rsidRDefault="0065758E" w:rsidP="006655A2">
      <w:pPr>
        <w:pStyle w:val="FootnoteText"/>
        <w:jc w:val="both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r w:rsidRPr="00186CD5">
        <w:t>Обосновката задължително включва изисквания за съответствие на операцията със стратегическите документи, относими към програмата и пътните карти към тях.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945C8D"/>
    <w:multiLevelType w:val="multilevel"/>
    <w:tmpl w:val="B61857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D295D6C"/>
    <w:multiLevelType w:val="hybridMultilevel"/>
    <w:tmpl w:val="48D45F60"/>
    <w:lvl w:ilvl="0" w:tplc="0402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3F24BD16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E34E4A"/>
    <w:multiLevelType w:val="hybridMultilevel"/>
    <w:tmpl w:val="805A6B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4B6C99"/>
    <w:multiLevelType w:val="hybridMultilevel"/>
    <w:tmpl w:val="6FF0BD5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12424B"/>
    <w:multiLevelType w:val="hybridMultilevel"/>
    <w:tmpl w:val="7CE018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9664A9"/>
    <w:multiLevelType w:val="hybridMultilevel"/>
    <w:tmpl w:val="530C5C0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31C"/>
    <w:rsid w:val="00015966"/>
    <w:rsid w:val="00057134"/>
    <w:rsid w:val="000B3EE5"/>
    <w:rsid w:val="000F11DA"/>
    <w:rsid w:val="00125C96"/>
    <w:rsid w:val="00140534"/>
    <w:rsid w:val="0017251B"/>
    <w:rsid w:val="001A3A7D"/>
    <w:rsid w:val="001C143C"/>
    <w:rsid w:val="00215CD4"/>
    <w:rsid w:val="00223A3C"/>
    <w:rsid w:val="00226F21"/>
    <w:rsid w:val="00262595"/>
    <w:rsid w:val="002E3549"/>
    <w:rsid w:val="00302B52"/>
    <w:rsid w:val="00347229"/>
    <w:rsid w:val="00360880"/>
    <w:rsid w:val="00366742"/>
    <w:rsid w:val="003869D8"/>
    <w:rsid w:val="003B3B8B"/>
    <w:rsid w:val="003E1922"/>
    <w:rsid w:val="003F672F"/>
    <w:rsid w:val="00521AA8"/>
    <w:rsid w:val="005264A3"/>
    <w:rsid w:val="00564B53"/>
    <w:rsid w:val="00573017"/>
    <w:rsid w:val="005738C3"/>
    <w:rsid w:val="005B2418"/>
    <w:rsid w:val="005C0842"/>
    <w:rsid w:val="005E6E8F"/>
    <w:rsid w:val="00637EF7"/>
    <w:rsid w:val="006413CC"/>
    <w:rsid w:val="0065758E"/>
    <w:rsid w:val="006655A2"/>
    <w:rsid w:val="0069138D"/>
    <w:rsid w:val="006C06AF"/>
    <w:rsid w:val="00726253"/>
    <w:rsid w:val="0073466A"/>
    <w:rsid w:val="00746A78"/>
    <w:rsid w:val="007821C3"/>
    <w:rsid w:val="007D7E84"/>
    <w:rsid w:val="007F1E27"/>
    <w:rsid w:val="008034D9"/>
    <w:rsid w:val="00803BC6"/>
    <w:rsid w:val="008059F1"/>
    <w:rsid w:val="00827CA4"/>
    <w:rsid w:val="00862B1C"/>
    <w:rsid w:val="00927469"/>
    <w:rsid w:val="009542F7"/>
    <w:rsid w:val="00992DC6"/>
    <w:rsid w:val="009B2C15"/>
    <w:rsid w:val="00A248F2"/>
    <w:rsid w:val="00A4155E"/>
    <w:rsid w:val="00A520B0"/>
    <w:rsid w:val="00A66CF3"/>
    <w:rsid w:val="00A73FF7"/>
    <w:rsid w:val="00A82AE0"/>
    <w:rsid w:val="00A83F51"/>
    <w:rsid w:val="00AA7567"/>
    <w:rsid w:val="00AC328D"/>
    <w:rsid w:val="00AF131C"/>
    <w:rsid w:val="00B71064"/>
    <w:rsid w:val="00B73BCA"/>
    <w:rsid w:val="00B9453F"/>
    <w:rsid w:val="00BB7710"/>
    <w:rsid w:val="00BC40B6"/>
    <w:rsid w:val="00C2278E"/>
    <w:rsid w:val="00C540D7"/>
    <w:rsid w:val="00CD15F1"/>
    <w:rsid w:val="00CE0640"/>
    <w:rsid w:val="00D17810"/>
    <w:rsid w:val="00DC2FB7"/>
    <w:rsid w:val="00E10F50"/>
    <w:rsid w:val="00E362DF"/>
    <w:rsid w:val="00E47080"/>
    <w:rsid w:val="00E57427"/>
    <w:rsid w:val="00E85734"/>
    <w:rsid w:val="00EB4AF9"/>
    <w:rsid w:val="00EC0D0A"/>
    <w:rsid w:val="00EF6F7D"/>
    <w:rsid w:val="00F07346"/>
    <w:rsid w:val="00F5122D"/>
    <w:rsid w:val="00F70E8D"/>
    <w:rsid w:val="00F919C9"/>
    <w:rsid w:val="00FA4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17CC2"/>
  <w15:chartTrackingRefBased/>
  <w15:docId w15:val="{65970E80-6CCD-4F95-BF16-1B65336F0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2278E"/>
    <w:pPr>
      <w:spacing w:before="450" w:after="100" w:afterAutospacing="1" w:line="240" w:lineRule="auto"/>
      <w:jc w:val="center"/>
      <w:outlineLvl w:val="2"/>
    </w:pPr>
    <w:rPr>
      <w:rFonts w:eastAsia="Times New Roman" w:cs="Times New Roman"/>
      <w:b/>
      <w:bCs/>
      <w:color w:val="000000"/>
      <w:sz w:val="27"/>
      <w:szCs w:val="27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E3549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szCs w:val="24"/>
      <w:lang w:eastAsia="en-GB"/>
    </w:rPr>
  </w:style>
  <w:style w:type="character" w:customStyle="1" w:styleId="HeaderChar">
    <w:name w:val="Header Char"/>
    <w:basedOn w:val="DefaultParagraphFont"/>
    <w:link w:val="Header"/>
    <w:rsid w:val="002E3549"/>
    <w:rPr>
      <w:rFonts w:eastAsia="Times New Roman" w:cs="Times New Roman"/>
      <w:szCs w:val="24"/>
      <w:lang w:eastAsia="en-GB"/>
    </w:rPr>
  </w:style>
  <w:style w:type="table" w:styleId="TableGrid">
    <w:name w:val="Table Grid"/>
    <w:basedOn w:val="TableNormal"/>
    <w:uiPriority w:val="39"/>
    <w:rsid w:val="002E35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35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3549"/>
    <w:rPr>
      <w:rFonts w:ascii="Segoe UI" w:hAnsi="Segoe UI" w:cs="Segoe UI"/>
      <w:sz w:val="18"/>
      <w:szCs w:val="18"/>
    </w:rPr>
  </w:style>
  <w:style w:type="character" w:styleId="CommentReference">
    <w:name w:val="annotation reference"/>
    <w:semiHidden/>
    <w:rsid w:val="002E354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2E3549"/>
    <w:pPr>
      <w:spacing w:after="0" w:line="240" w:lineRule="auto"/>
    </w:pPr>
    <w:rPr>
      <w:rFonts w:eastAsia="Times New Roman" w:cs="Times New Roman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semiHidden/>
    <w:rsid w:val="002E3549"/>
    <w:rPr>
      <w:rFonts w:eastAsia="Times New Roman" w:cs="Times New Roman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E47080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7229"/>
    <w:pPr>
      <w:spacing w:after="160"/>
    </w:pPr>
    <w:rPr>
      <w:rFonts w:eastAsia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7229"/>
    <w:rPr>
      <w:rFonts w:eastAsia="Times New Roman" w:cs="Times New Roman"/>
      <w:b/>
      <w:bCs/>
      <w:sz w:val="20"/>
      <w:szCs w:val="20"/>
      <w:lang w:eastAsia="en-GB"/>
    </w:rPr>
  </w:style>
  <w:style w:type="paragraph" w:styleId="Revision">
    <w:name w:val="Revision"/>
    <w:hidden/>
    <w:uiPriority w:val="99"/>
    <w:semiHidden/>
    <w:rsid w:val="00347229"/>
    <w:pPr>
      <w:spacing w:after="0" w:line="240" w:lineRule="auto"/>
    </w:pPr>
  </w:style>
  <w:style w:type="character" w:customStyle="1" w:styleId="infolabel1">
    <w:name w:val="infolabel1"/>
    <w:rsid w:val="00D17810"/>
    <w:rPr>
      <w:color w:val="333399"/>
      <w:sz w:val="16"/>
      <w:szCs w:val="16"/>
    </w:rPr>
  </w:style>
  <w:style w:type="character" w:customStyle="1" w:styleId="apple-converted-space">
    <w:name w:val="apple-converted-space"/>
    <w:rsid w:val="00D17810"/>
  </w:style>
  <w:style w:type="paragraph" w:customStyle="1" w:styleId="Style">
    <w:name w:val="Style"/>
    <w:rsid w:val="00D17810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eastAsia="Times New Roman" w:cs="Times New Roman"/>
      <w:szCs w:val="24"/>
      <w:lang w:eastAsia="bg-BG"/>
    </w:rPr>
  </w:style>
  <w:style w:type="paragraph" w:styleId="FootnoteText">
    <w:name w:val="footnote text"/>
    <w:basedOn w:val="Normal"/>
    <w:link w:val="FootnoteTextChar"/>
    <w:semiHidden/>
    <w:rsid w:val="00B73BCA"/>
    <w:pPr>
      <w:spacing w:after="0" w:line="240" w:lineRule="auto"/>
    </w:pPr>
    <w:rPr>
      <w:rFonts w:eastAsia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B73BCA"/>
    <w:rPr>
      <w:rFonts w:eastAsia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rsid w:val="00B73BCA"/>
    <w:rPr>
      <w:vertAlign w:val="superscript"/>
    </w:rPr>
  </w:style>
  <w:style w:type="paragraph" w:customStyle="1" w:styleId="Default">
    <w:name w:val="Default"/>
    <w:rsid w:val="0065758E"/>
    <w:pPr>
      <w:autoSpaceDE w:val="0"/>
      <w:autoSpaceDN w:val="0"/>
      <w:adjustRightInd w:val="0"/>
      <w:spacing w:after="0" w:line="240" w:lineRule="auto"/>
    </w:pPr>
    <w:rPr>
      <w:rFonts w:eastAsia="SimSun" w:cs="Times New Roman"/>
      <w:color w:val="000000"/>
      <w:szCs w:val="24"/>
      <w:lang w:eastAsia="bg-BG"/>
    </w:rPr>
  </w:style>
  <w:style w:type="paragraph" w:styleId="NormalWeb">
    <w:name w:val="Normal (Web)"/>
    <w:basedOn w:val="Normal"/>
    <w:uiPriority w:val="99"/>
    <w:unhideWhenUsed/>
    <w:rsid w:val="0065758E"/>
    <w:pPr>
      <w:spacing w:before="100" w:beforeAutospacing="1" w:after="180" w:line="240" w:lineRule="auto"/>
    </w:pPr>
    <w:rPr>
      <w:rFonts w:eastAsia="Times New Roman" w:cs="Times New Roman"/>
      <w:sz w:val="21"/>
      <w:szCs w:val="21"/>
      <w:lang w:eastAsia="bg-BG"/>
    </w:rPr>
  </w:style>
  <w:style w:type="character" w:customStyle="1" w:styleId="Heading3Char">
    <w:name w:val="Heading 3 Char"/>
    <w:basedOn w:val="DefaultParagraphFont"/>
    <w:link w:val="Heading3"/>
    <w:uiPriority w:val="9"/>
    <w:rsid w:val="00C2278E"/>
    <w:rPr>
      <w:rFonts w:eastAsia="Times New Roman" w:cs="Times New Roman"/>
      <w:b/>
      <w:bCs/>
      <w:color w:val="000000"/>
      <w:sz w:val="27"/>
      <w:szCs w:val="27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803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3BC6"/>
  </w:style>
  <w:style w:type="paragraph" w:styleId="EndnoteText">
    <w:name w:val="endnote text"/>
    <w:basedOn w:val="Normal"/>
    <w:link w:val="EndnoteTextChar"/>
    <w:uiPriority w:val="99"/>
    <w:semiHidden/>
    <w:unhideWhenUsed/>
    <w:rsid w:val="00803BC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03BC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03B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0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08781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35680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3043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94040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ac.government.bg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DF079-58D5-4EE2-AED5-1C85F146A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2443</Words>
  <Characters>13931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Ангелова</dc:creator>
  <cp:keywords/>
  <dc:description/>
  <cp:lastModifiedBy>Емилия Герджикова</cp:lastModifiedBy>
  <cp:revision>9</cp:revision>
  <cp:lastPrinted>2016-08-22T09:24:00Z</cp:lastPrinted>
  <dcterms:created xsi:type="dcterms:W3CDTF">2017-01-30T11:10:00Z</dcterms:created>
  <dcterms:modified xsi:type="dcterms:W3CDTF">2017-02-16T15:12:00Z</dcterms:modified>
</cp:coreProperties>
</file>